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288BB" w14:textId="77777777" w:rsidR="009A0FF6" w:rsidRDefault="009A0FF6" w:rsidP="00193F8A">
      <w:pPr>
        <w:ind w:left="2292" w:hanging="2292"/>
      </w:pPr>
      <w:bookmarkStart w:id="0" w:name="_Toc209500354"/>
      <w:bookmarkStart w:id="1" w:name="_Toc219275270"/>
      <w:bookmarkStart w:id="2" w:name="_Toc219275340"/>
      <w:bookmarkStart w:id="3" w:name="_Toc219518985"/>
    </w:p>
    <w:p w14:paraId="12E288BC" w14:textId="77777777" w:rsidR="008720EB" w:rsidRPr="00B255E4" w:rsidRDefault="00F015F1" w:rsidP="00193F8A">
      <w:pPr>
        <w:ind w:left="2292" w:hanging="2292"/>
        <w:rPr>
          <w:lang w:val="en-US"/>
        </w:rPr>
      </w:pPr>
      <w:r w:rsidRPr="00B255E4">
        <w:rPr>
          <w:lang w:val="en-US"/>
        </w:rPr>
        <w:t xml:space="preserve">SCORECARD </w:t>
      </w:r>
      <w:r w:rsidRPr="00B255E4">
        <w:rPr>
          <w:lang w:val="en-US"/>
        </w:rPr>
        <w:tab/>
        <w:t xml:space="preserve">Inter-American Development </w:t>
      </w:r>
      <w:r w:rsidR="009D1723">
        <w:rPr>
          <w:lang w:val="en-US"/>
        </w:rPr>
        <w:t>Bank</w:t>
      </w:r>
      <w:r w:rsidRPr="00B255E4">
        <w:rPr>
          <w:lang w:val="en-US"/>
        </w:rPr>
        <w:t xml:space="preserve"> (IDB)</w:t>
      </w:r>
    </w:p>
    <w:p w14:paraId="12E288BD" w14:textId="77777777" w:rsidR="008720EB" w:rsidRPr="00B255E4" w:rsidRDefault="008720EB" w:rsidP="00193F8A">
      <w:pPr>
        <w:ind w:left="2292" w:hanging="2292"/>
        <w:rPr>
          <w:lang w:val="en-US"/>
        </w:rPr>
      </w:pPr>
    </w:p>
    <w:p w14:paraId="12E288BE" w14:textId="10A9CEA9" w:rsidR="009B57FB" w:rsidRDefault="005F4333" w:rsidP="00193F8A">
      <w:pPr>
        <w:ind w:left="2292" w:hanging="2292"/>
      </w:pPr>
      <w:r>
        <w:fldChar w:fldCharType="begin"/>
      </w:r>
      <w:r>
        <w:instrText xml:space="preserve"> DOCPROPERTY  L_CONTACT  \* MERGEFORMAT </w:instrText>
      </w:r>
      <w:r>
        <w:fldChar w:fldCharType="separate"/>
      </w:r>
      <w:r w:rsidR="00914A7A">
        <w:t>Opgesteld door</w:t>
      </w:r>
      <w:r>
        <w:fldChar w:fldCharType="end"/>
      </w:r>
      <w:r w:rsidR="002F6CE5" w:rsidRPr="00785F18">
        <w:tab/>
      </w:r>
      <w:r w:rsidR="003A65E8">
        <w:t xml:space="preserve">Directie </w:t>
      </w:r>
      <w:r w:rsidR="00460E7F">
        <w:t>Multilaterale Instellingen en Mensenrechten</w:t>
      </w:r>
    </w:p>
    <w:p w14:paraId="12E288BF" w14:textId="657A26C1" w:rsidR="002F6CE5" w:rsidRPr="00785F18" w:rsidRDefault="002F6CE5" w:rsidP="00193F8A">
      <w:pPr>
        <w:ind w:left="2292" w:hanging="2292"/>
      </w:pPr>
      <w:r w:rsidRPr="00785F18">
        <w:br/>
      </w:r>
    </w:p>
    <w:tbl>
      <w:tblPr>
        <w:tblW w:w="0" w:type="auto"/>
        <w:tblLook w:val="01E0" w:firstRow="1" w:lastRow="1" w:firstColumn="1" w:lastColumn="1" w:noHBand="0" w:noVBand="0"/>
      </w:tblPr>
      <w:tblGrid>
        <w:gridCol w:w="2238"/>
        <w:gridCol w:w="5488"/>
      </w:tblGrid>
      <w:tr w:rsidR="002F6CE5" w:rsidRPr="00785F18" w14:paraId="12E288C4" w14:textId="77777777" w:rsidTr="008F1B70">
        <w:tc>
          <w:tcPr>
            <w:tcW w:w="2268" w:type="dxa"/>
            <w:shd w:val="clear" w:color="auto" w:fill="auto"/>
          </w:tcPr>
          <w:p w14:paraId="12E288C1" w14:textId="3D4747CF" w:rsidR="002F6CE5" w:rsidRPr="00785F18" w:rsidRDefault="006F33F9" w:rsidP="00D24162">
            <w:r>
              <w:fldChar w:fldCharType="begin"/>
            </w:r>
            <w:r w:rsidR="00291813">
              <w:instrText xml:space="preserve"> DOCPROPERTY  L_AUTHOR  \* MERGEFORMAT </w:instrText>
            </w:r>
            <w:r>
              <w:fldChar w:fldCharType="separate"/>
            </w:r>
            <w:r w:rsidR="00D24162">
              <w:t>Redacteur</w:t>
            </w:r>
            <w:r w:rsidR="00914A7A">
              <w:t>:</w:t>
            </w:r>
            <w:r>
              <w:fldChar w:fldCharType="end"/>
            </w:r>
          </w:p>
        </w:tc>
        <w:tc>
          <w:tcPr>
            <w:tcW w:w="5598" w:type="dxa"/>
            <w:shd w:val="clear" w:color="auto" w:fill="auto"/>
          </w:tcPr>
          <w:p w14:paraId="12E288C2" w14:textId="77777777" w:rsidR="00881881" w:rsidRDefault="00881881" w:rsidP="00193F8A">
            <w:r>
              <w:t xml:space="preserve">Sophie van den Ende </w:t>
            </w:r>
          </w:p>
          <w:p w14:paraId="12E288C3" w14:textId="034F0D33" w:rsidR="002F6CE5" w:rsidRPr="00785F18" w:rsidRDefault="00881881" w:rsidP="00B3437D">
            <w:r>
              <w:t>A</w:t>
            </w:r>
            <w:r w:rsidR="00326699">
              <w:t xml:space="preserve">fgestemd </w:t>
            </w:r>
            <w:r w:rsidR="008A3AAB">
              <w:t xml:space="preserve">met </w:t>
            </w:r>
            <w:r w:rsidR="00B3437D">
              <w:t>K</w:t>
            </w:r>
            <w:r>
              <w:t xml:space="preserve">iesgroepkantoor IDB </w:t>
            </w:r>
          </w:p>
        </w:tc>
      </w:tr>
    </w:tbl>
    <w:p w14:paraId="12E288C5" w14:textId="77777777" w:rsidR="00991C2E" w:rsidRDefault="00991C2E" w:rsidP="00193F8A"/>
    <w:p w14:paraId="12E288C6" w14:textId="77777777" w:rsidR="00991C2E" w:rsidRDefault="00991C2E" w:rsidP="00193F8A"/>
    <w:p w14:paraId="12E288C7" w14:textId="77777777" w:rsidR="00991C2E" w:rsidRDefault="00991C2E" w:rsidP="00193F8A"/>
    <w:p w14:paraId="12E288C8" w14:textId="77777777" w:rsidR="00326699" w:rsidRDefault="00326699" w:rsidP="00901CAE">
      <w:pPr>
        <w:ind w:left="720"/>
      </w:pPr>
    </w:p>
    <w:p w14:paraId="12E288C9" w14:textId="77777777" w:rsidR="00326699" w:rsidRDefault="00326699" w:rsidP="00193F8A"/>
    <w:p w14:paraId="12E288CA" w14:textId="77777777" w:rsidR="00326699" w:rsidRDefault="00326699" w:rsidP="00193F8A">
      <w:pPr>
        <w:sectPr w:rsidR="00326699" w:rsidSect="007D6565">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2520" w:right="960" w:bottom="1080" w:left="3220" w:header="200" w:footer="660" w:gutter="0"/>
          <w:cols w:space="708"/>
          <w:titlePg/>
          <w:docGrid w:linePitch="360"/>
        </w:sectPr>
      </w:pPr>
    </w:p>
    <w:bookmarkEnd w:id="0"/>
    <w:bookmarkEnd w:id="1"/>
    <w:bookmarkEnd w:id="2"/>
    <w:bookmarkEnd w:id="3"/>
    <w:p w14:paraId="12E288CB" w14:textId="77777777" w:rsidR="00A908F9" w:rsidRDefault="00A908F9" w:rsidP="00193F8A">
      <w:pPr>
        <w:pStyle w:val="Kop-Inhoudsopgave"/>
        <w:spacing w:line="240" w:lineRule="atLeast"/>
      </w:pPr>
    </w:p>
    <w:p w14:paraId="12E288CC" w14:textId="77777777" w:rsidR="00A908F9" w:rsidRDefault="00A908F9" w:rsidP="00193F8A">
      <w:pPr>
        <w:pStyle w:val="Kop-Inhoudsopgave"/>
        <w:spacing w:line="240" w:lineRule="atLeast"/>
      </w:pPr>
    </w:p>
    <w:p w14:paraId="12E288CD" w14:textId="1C1EB427" w:rsidR="00A908F9" w:rsidRDefault="008720EB" w:rsidP="00193F8A">
      <w:pPr>
        <w:pStyle w:val="Kop-Inhoudsopgave"/>
        <w:spacing w:line="240" w:lineRule="atLeast"/>
      </w:pPr>
      <w:r>
        <w:br w:type="page"/>
      </w:r>
      <w:r w:rsidR="005F4333">
        <w:lastRenderedPageBreak/>
        <w:fldChar w:fldCharType="begin"/>
      </w:r>
      <w:r w:rsidR="005F4333">
        <w:instrText xml:space="preserve"> DOCPROPERTY  L_TOC  \* MERGEFORMAT </w:instrText>
      </w:r>
      <w:r w:rsidR="005F4333">
        <w:fldChar w:fldCharType="separate"/>
      </w:r>
      <w:bookmarkStart w:id="8" w:name="_Toc473812715"/>
      <w:bookmarkStart w:id="9" w:name="_Toc287454445"/>
      <w:bookmarkStart w:id="10" w:name="_Toc287446465"/>
      <w:bookmarkStart w:id="11" w:name="_Toc491437674"/>
      <w:r w:rsidR="00914A7A">
        <w:t>Inhoudsopgave</w:t>
      </w:r>
      <w:bookmarkEnd w:id="8"/>
      <w:bookmarkEnd w:id="9"/>
      <w:bookmarkEnd w:id="10"/>
      <w:bookmarkEnd w:id="11"/>
      <w:r w:rsidR="005F4333">
        <w:fldChar w:fldCharType="end"/>
      </w:r>
    </w:p>
    <w:p w14:paraId="64FB5BD8" w14:textId="4F820399" w:rsidR="00A5503F" w:rsidRDefault="006F33F9">
      <w:pPr>
        <w:pStyle w:val="TOC1"/>
        <w:tabs>
          <w:tab w:val="right" w:leader="dot" w:pos="7716"/>
        </w:tabs>
        <w:rPr>
          <w:rFonts w:asciiTheme="minorHAnsi" w:eastAsiaTheme="minorEastAsia" w:hAnsiTheme="minorHAnsi" w:cstheme="minorBidi"/>
          <w:noProof/>
          <w:sz w:val="22"/>
          <w:szCs w:val="22"/>
        </w:rPr>
      </w:pPr>
      <w:r w:rsidRPr="00785F18">
        <w:fldChar w:fldCharType="begin"/>
      </w:r>
      <w:r w:rsidR="006B2292" w:rsidRPr="00785F18">
        <w:instrText xml:space="preserve"> TOC \t "Heading 1;2;Heading 2;3;Heading 3;4;Kop-Inhoudsopgave;1;Kop zonder nummering;1;Subtitle;2;Title;1" </w:instrText>
      </w:r>
      <w:r w:rsidRPr="00785F18">
        <w:fldChar w:fldCharType="separate"/>
      </w:r>
      <w:r w:rsidR="00A5503F">
        <w:rPr>
          <w:noProof/>
        </w:rPr>
        <w:t>Inhoudsopgave</w:t>
      </w:r>
      <w:r w:rsidR="00A5503F">
        <w:rPr>
          <w:noProof/>
        </w:rPr>
        <w:tab/>
      </w:r>
      <w:r w:rsidR="00A5503F">
        <w:rPr>
          <w:noProof/>
        </w:rPr>
        <w:fldChar w:fldCharType="begin"/>
      </w:r>
      <w:r w:rsidR="00A5503F">
        <w:rPr>
          <w:noProof/>
        </w:rPr>
        <w:instrText xml:space="preserve"> PAGEREF _Toc491437674 \h </w:instrText>
      </w:r>
      <w:r w:rsidR="00A5503F">
        <w:rPr>
          <w:noProof/>
        </w:rPr>
      </w:r>
      <w:r w:rsidR="00A5503F">
        <w:rPr>
          <w:noProof/>
        </w:rPr>
        <w:fldChar w:fldCharType="separate"/>
      </w:r>
      <w:r w:rsidR="00A5503F">
        <w:rPr>
          <w:noProof/>
        </w:rPr>
        <w:t>2</w:t>
      </w:r>
      <w:r w:rsidR="00A5503F">
        <w:rPr>
          <w:noProof/>
        </w:rPr>
        <w:fldChar w:fldCharType="end"/>
      </w:r>
    </w:p>
    <w:p w14:paraId="19FF4C55" w14:textId="14FA41B7" w:rsidR="00A5503F" w:rsidRDefault="00A5503F">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_Toc491437675 \h </w:instrText>
      </w:r>
      <w:r>
        <w:fldChar w:fldCharType="separate"/>
      </w:r>
      <w:r>
        <w:t>3</w:t>
      </w:r>
      <w:r>
        <w:fldChar w:fldCharType="end"/>
      </w:r>
    </w:p>
    <w:p w14:paraId="72200AB4" w14:textId="1C33353F" w:rsidR="00A5503F" w:rsidRDefault="00A5503F">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_Toc491437676 \h </w:instrText>
      </w:r>
      <w:r>
        <w:fldChar w:fldCharType="separate"/>
      </w:r>
      <w:r>
        <w:t>3</w:t>
      </w:r>
      <w:r>
        <w:fldChar w:fldCharType="end"/>
      </w:r>
    </w:p>
    <w:p w14:paraId="52479393" w14:textId="5971FDEE" w:rsidR="00A5503F" w:rsidRDefault="00A5503F">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_Toc491437677 \h </w:instrText>
      </w:r>
      <w:r>
        <w:fldChar w:fldCharType="separate"/>
      </w:r>
      <w:r>
        <w:t>3</w:t>
      </w:r>
      <w:r>
        <w:fldChar w:fldCharType="end"/>
      </w:r>
    </w:p>
    <w:p w14:paraId="1EF555BB" w14:textId="4D2CFBE4" w:rsidR="00A5503F" w:rsidRDefault="00A5503F">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_Toc491437678 \h </w:instrText>
      </w:r>
      <w:r>
        <w:fldChar w:fldCharType="separate"/>
      </w:r>
      <w:r>
        <w:t>4</w:t>
      </w:r>
      <w:r>
        <w:fldChar w:fldCharType="end"/>
      </w:r>
    </w:p>
    <w:p w14:paraId="44E6ACEB" w14:textId="1DDBBED5" w:rsidR="00A5503F" w:rsidRDefault="00A5503F">
      <w:pPr>
        <w:pStyle w:val="TOC2"/>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Algemene achtergrond</w:t>
      </w:r>
      <w:r>
        <w:tab/>
      </w:r>
      <w:r>
        <w:fldChar w:fldCharType="begin"/>
      </w:r>
      <w:r>
        <w:instrText xml:space="preserve"> PAGEREF _Toc491437679 \h </w:instrText>
      </w:r>
      <w:r>
        <w:fldChar w:fldCharType="separate"/>
      </w:r>
      <w:r>
        <w:t>5</w:t>
      </w:r>
      <w:r>
        <w:fldChar w:fldCharType="end"/>
      </w:r>
    </w:p>
    <w:p w14:paraId="60847FDF" w14:textId="545CAF3A" w:rsidR="00A5503F" w:rsidRDefault="00A5503F">
      <w:pPr>
        <w:pStyle w:val="TOC3"/>
        <w:rPr>
          <w:rFonts w:asciiTheme="minorHAnsi" w:eastAsiaTheme="minorEastAsia" w:hAnsiTheme="minorHAnsi" w:cstheme="minorBidi"/>
          <w:sz w:val="22"/>
          <w:szCs w:val="22"/>
        </w:rPr>
      </w:pPr>
      <w:r>
        <w:t>3.1             Doelstelling en toegevoegde waarde</w:t>
      </w:r>
      <w:r>
        <w:tab/>
      </w:r>
      <w:r>
        <w:fldChar w:fldCharType="begin"/>
      </w:r>
      <w:r>
        <w:instrText xml:space="preserve"> PAGEREF _Toc491437680 \h </w:instrText>
      </w:r>
      <w:r>
        <w:fldChar w:fldCharType="separate"/>
      </w:r>
      <w:r>
        <w:t>5</w:t>
      </w:r>
      <w:r>
        <w:fldChar w:fldCharType="end"/>
      </w:r>
    </w:p>
    <w:p w14:paraId="562A794F" w14:textId="5E05A9BA" w:rsidR="00A5503F" w:rsidRDefault="00A5503F">
      <w:pPr>
        <w:pStyle w:val="TOC3"/>
        <w:rPr>
          <w:rFonts w:asciiTheme="minorHAnsi" w:eastAsiaTheme="minorEastAsia" w:hAnsiTheme="minorHAnsi" w:cstheme="minorBidi"/>
          <w:sz w:val="22"/>
          <w:szCs w:val="22"/>
        </w:rPr>
      </w:pPr>
      <w:r>
        <w:t>3.2             Organisatie, werkwijze en activiteiten</w:t>
      </w:r>
      <w:r>
        <w:tab/>
      </w:r>
      <w:r>
        <w:fldChar w:fldCharType="begin"/>
      </w:r>
      <w:r>
        <w:instrText xml:space="preserve"> PAGEREF _Toc491437681 \h </w:instrText>
      </w:r>
      <w:r>
        <w:fldChar w:fldCharType="separate"/>
      </w:r>
      <w:r>
        <w:t>5</w:t>
      </w:r>
      <w:r>
        <w:fldChar w:fldCharType="end"/>
      </w:r>
    </w:p>
    <w:p w14:paraId="367CA9BC" w14:textId="77EC1538" w:rsidR="00A5503F" w:rsidRDefault="00A5503F">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_Toc491437682 \h </w:instrText>
      </w:r>
      <w:r>
        <w:fldChar w:fldCharType="separate"/>
      </w:r>
      <w:r>
        <w:t>6</w:t>
      </w:r>
      <w:r>
        <w:fldChar w:fldCharType="end"/>
      </w:r>
    </w:p>
    <w:p w14:paraId="6788698F" w14:textId="01789506" w:rsidR="00A5503F" w:rsidRDefault="00A5503F">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_Toc491437683 \h </w:instrText>
      </w:r>
      <w:r>
        <w:fldChar w:fldCharType="separate"/>
      </w:r>
      <w:r>
        <w:t>7</w:t>
      </w:r>
      <w:r>
        <w:fldChar w:fldCharType="end"/>
      </w:r>
    </w:p>
    <w:p w14:paraId="77469219" w14:textId="549730AD" w:rsidR="00A5503F" w:rsidRDefault="00A5503F">
      <w:pPr>
        <w:pStyle w:val="TOC2"/>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_Toc491437684 \h </w:instrText>
      </w:r>
      <w:r>
        <w:fldChar w:fldCharType="separate"/>
      </w:r>
      <w:r>
        <w:t>9</w:t>
      </w:r>
      <w:r>
        <w:fldChar w:fldCharType="end"/>
      </w:r>
    </w:p>
    <w:p w14:paraId="695FD2A6" w14:textId="5729C69D" w:rsidR="00A5503F" w:rsidRDefault="00A5503F">
      <w:pPr>
        <w:pStyle w:val="TOC3"/>
        <w:rPr>
          <w:rFonts w:asciiTheme="minorHAnsi" w:eastAsiaTheme="minorEastAsia" w:hAnsiTheme="minorHAnsi" w:cstheme="minorBidi"/>
          <w:sz w:val="22"/>
          <w:szCs w:val="22"/>
        </w:rPr>
      </w:pPr>
      <w:r>
        <w:t>4.1             Strategie en verantwoording</w:t>
      </w:r>
      <w:r>
        <w:tab/>
      </w:r>
      <w:r>
        <w:fldChar w:fldCharType="begin"/>
      </w:r>
      <w:r>
        <w:instrText xml:space="preserve"> PAGEREF _Toc491437685 \h </w:instrText>
      </w:r>
      <w:r>
        <w:fldChar w:fldCharType="separate"/>
      </w:r>
      <w:r>
        <w:t>9</w:t>
      </w:r>
      <w:r>
        <w:fldChar w:fldCharType="end"/>
      </w:r>
    </w:p>
    <w:p w14:paraId="1C211707" w14:textId="2241B599" w:rsidR="00A5503F" w:rsidRDefault="00A5503F">
      <w:pPr>
        <w:pStyle w:val="TOC3"/>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Resultaatgerichtheid en transparantie</w:t>
      </w:r>
      <w:r>
        <w:tab/>
      </w:r>
      <w:r>
        <w:fldChar w:fldCharType="begin"/>
      </w:r>
      <w:r>
        <w:instrText xml:space="preserve"> PAGEREF _Toc491437686 \h </w:instrText>
      </w:r>
      <w:r>
        <w:fldChar w:fldCharType="separate"/>
      </w:r>
      <w:r>
        <w:t>10</w:t>
      </w:r>
      <w:r>
        <w:fldChar w:fldCharType="end"/>
      </w:r>
    </w:p>
    <w:p w14:paraId="3C7D3086" w14:textId="110925B7" w:rsidR="00A5503F" w:rsidRDefault="00A5503F">
      <w:pPr>
        <w:pStyle w:val="TOC3"/>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_Toc491437687 \h </w:instrText>
      </w:r>
      <w:r>
        <w:fldChar w:fldCharType="separate"/>
      </w:r>
      <w:r>
        <w:t>10</w:t>
      </w:r>
      <w:r>
        <w:fldChar w:fldCharType="end"/>
      </w:r>
    </w:p>
    <w:p w14:paraId="29BB5B60" w14:textId="55E8716D" w:rsidR="00A5503F" w:rsidRDefault="00A5503F">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_Toc491437688 \h </w:instrText>
      </w:r>
      <w:r>
        <w:fldChar w:fldCharType="separate"/>
      </w:r>
      <w:r>
        <w:t>12</w:t>
      </w:r>
      <w:r>
        <w:fldChar w:fldCharType="end"/>
      </w:r>
    </w:p>
    <w:p w14:paraId="13AD2B6C" w14:textId="290793B5" w:rsidR="00A5503F" w:rsidRDefault="00A5503F">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_Toc491437689 \h </w:instrText>
      </w:r>
      <w:r>
        <w:fldChar w:fldCharType="separate"/>
      </w:r>
      <w:r>
        <w:t>13</w:t>
      </w:r>
      <w:r>
        <w:fldChar w:fldCharType="end"/>
      </w:r>
    </w:p>
    <w:p w14:paraId="756794E4" w14:textId="6AD1259C" w:rsidR="00A5503F" w:rsidRDefault="00A5503F">
      <w:pPr>
        <w:pStyle w:val="TOC3"/>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Human Resource Management</w:t>
      </w:r>
      <w:r>
        <w:tab/>
      </w:r>
      <w:r>
        <w:fldChar w:fldCharType="begin"/>
      </w:r>
      <w:r>
        <w:instrText xml:space="preserve"> PAGEREF _Toc491437690 \h </w:instrText>
      </w:r>
      <w:r>
        <w:fldChar w:fldCharType="separate"/>
      </w:r>
      <w:r>
        <w:t>14</w:t>
      </w:r>
      <w:r>
        <w:fldChar w:fldCharType="end"/>
      </w:r>
    </w:p>
    <w:p w14:paraId="21C7D3AF" w14:textId="698F5F89" w:rsidR="00A5503F" w:rsidRDefault="00A5503F">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_Toc491437691 \h </w:instrText>
      </w:r>
      <w:r>
        <w:fldChar w:fldCharType="separate"/>
      </w:r>
      <w:r>
        <w:t>15</w:t>
      </w:r>
      <w:r>
        <w:fldChar w:fldCharType="end"/>
      </w:r>
    </w:p>
    <w:p w14:paraId="0A10A6EF" w14:textId="080CC41B" w:rsidR="00A5503F" w:rsidRDefault="00A5503F">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_Toc491437692 \h </w:instrText>
      </w:r>
      <w:r>
        <w:fldChar w:fldCharType="separate"/>
      </w:r>
      <w:r>
        <w:t>16</w:t>
      </w:r>
      <w:r>
        <w:fldChar w:fldCharType="end"/>
      </w:r>
    </w:p>
    <w:p w14:paraId="3BE0E7CE" w14:textId="6E7088F6" w:rsidR="00A5503F" w:rsidRDefault="00A5503F">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_Toc491437693 \h </w:instrText>
      </w:r>
      <w:r>
        <w:fldChar w:fldCharType="separate"/>
      </w:r>
      <w:r>
        <w:t>16</w:t>
      </w:r>
      <w:r>
        <w:fldChar w:fldCharType="end"/>
      </w:r>
    </w:p>
    <w:p w14:paraId="3E29A087" w14:textId="7E7BE60D" w:rsidR="00A5503F" w:rsidRDefault="00A5503F">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_Toc491437694 \h </w:instrText>
      </w:r>
      <w:r>
        <w:fldChar w:fldCharType="separate"/>
      </w:r>
      <w:r>
        <w:t>18</w:t>
      </w:r>
      <w:r>
        <w:fldChar w:fldCharType="end"/>
      </w:r>
    </w:p>
    <w:p w14:paraId="5E003AF3" w14:textId="18FD1141" w:rsidR="00A5503F" w:rsidRDefault="00A5503F">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_Toc491437695 \h </w:instrText>
      </w:r>
      <w:r>
        <w:fldChar w:fldCharType="separate"/>
      </w:r>
      <w:r>
        <w:t>18</w:t>
      </w:r>
      <w:r>
        <w:fldChar w:fldCharType="end"/>
      </w:r>
    </w:p>
    <w:p w14:paraId="49E2694C" w14:textId="1044EA2F" w:rsidR="00A5503F" w:rsidRDefault="00A5503F">
      <w:pPr>
        <w:pStyle w:val="TOC3"/>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Overige relevantie</w:t>
      </w:r>
      <w:r>
        <w:tab/>
      </w:r>
      <w:r>
        <w:fldChar w:fldCharType="begin"/>
      </w:r>
      <w:r>
        <w:instrText xml:space="preserve"> PAGEREF _Toc491437696 \h </w:instrText>
      </w:r>
      <w:r>
        <w:fldChar w:fldCharType="separate"/>
      </w:r>
      <w:r>
        <w:t>20</w:t>
      </w:r>
      <w:r>
        <w:fldChar w:fldCharType="end"/>
      </w:r>
    </w:p>
    <w:p w14:paraId="12E288E5" w14:textId="6A33EC41" w:rsidR="00261F77" w:rsidRPr="00290657" w:rsidRDefault="006F33F9" w:rsidP="00193F8A">
      <w:pPr>
        <w:pStyle w:val="TOC3"/>
        <w:rPr>
          <w:rFonts w:ascii="Calibri" w:hAnsi="Calibri"/>
          <w:sz w:val="22"/>
          <w:szCs w:val="22"/>
        </w:rPr>
      </w:pPr>
      <w:r w:rsidRPr="00785F18">
        <w:fldChar w:fldCharType="end"/>
      </w:r>
    </w:p>
    <w:p w14:paraId="12E288E6" w14:textId="77777777" w:rsidR="00101F98" w:rsidRPr="00785F18" w:rsidRDefault="00101F98" w:rsidP="00193F8A">
      <w:pPr>
        <w:tabs>
          <w:tab w:val="left" w:pos="0"/>
        </w:tabs>
      </w:pPr>
    </w:p>
    <w:p w14:paraId="12E288E7" w14:textId="77777777" w:rsidR="00A908F9" w:rsidRDefault="00A908F9" w:rsidP="00193F8A"/>
    <w:p w14:paraId="12E288E8" w14:textId="77777777" w:rsidR="00A908F9" w:rsidRPr="00A908F9" w:rsidRDefault="00A908F9" w:rsidP="00193F8A"/>
    <w:p w14:paraId="12E288E9" w14:textId="77777777" w:rsidR="00A908F9" w:rsidRPr="00A908F9" w:rsidRDefault="00A908F9" w:rsidP="00193F8A"/>
    <w:p w14:paraId="12E288EA" w14:textId="60B857FA" w:rsidR="00A908F9" w:rsidRDefault="00A5503F" w:rsidP="00A5503F">
      <w:pPr>
        <w:tabs>
          <w:tab w:val="left" w:pos="2690"/>
          <w:tab w:val="center" w:pos="3863"/>
        </w:tabs>
      </w:pPr>
      <w:r>
        <w:tab/>
      </w:r>
      <w:bookmarkStart w:id="12" w:name="_GoBack"/>
      <w:bookmarkEnd w:id="12"/>
      <w:r>
        <w:tab/>
      </w:r>
    </w:p>
    <w:p w14:paraId="12E288EB" w14:textId="77777777" w:rsidR="00101F98" w:rsidRPr="00A908F9" w:rsidRDefault="00101F98" w:rsidP="00193F8A">
      <w:pPr>
        <w:sectPr w:rsidR="00101F98" w:rsidRPr="00A908F9" w:rsidSect="00EE1B9E">
          <w:headerReference w:type="first" r:id="rId18"/>
          <w:endnotePr>
            <w:numFmt w:val="decimal"/>
          </w:endnotePr>
          <w:type w:val="continuous"/>
          <w:pgSz w:w="11906" w:h="16838" w:code="9"/>
          <w:pgMar w:top="2520" w:right="960" w:bottom="1080" w:left="3220" w:header="200" w:footer="660" w:gutter="0"/>
          <w:cols w:space="708"/>
          <w:titlePg/>
          <w:docGrid w:linePitch="360"/>
        </w:sectPr>
      </w:pPr>
    </w:p>
    <w:p w14:paraId="0984962A" w14:textId="62A28DD0" w:rsidR="00B3437D" w:rsidRDefault="00B3437D" w:rsidP="00B3437D">
      <w:pPr>
        <w:pStyle w:val="Heading1"/>
        <w:tabs>
          <w:tab w:val="num" w:pos="0"/>
        </w:tabs>
        <w:spacing w:after="240" w:line="240" w:lineRule="atLeast"/>
        <w:ind w:hanging="1162"/>
      </w:pPr>
      <w:bookmarkStart w:id="13" w:name="_Toc238533654"/>
      <w:bookmarkStart w:id="14" w:name="_Toc238537583"/>
      <w:bookmarkStart w:id="15" w:name="_Toc238538136"/>
      <w:bookmarkStart w:id="16" w:name="_Toc238538151"/>
      <w:bookmarkStart w:id="17" w:name="_Toc300822504"/>
      <w:bookmarkStart w:id="18" w:name="_Toc473812716"/>
      <w:bookmarkStart w:id="19" w:name="_Toc491437675"/>
      <w:bookmarkEnd w:id="13"/>
      <w:bookmarkEnd w:id="14"/>
      <w:bookmarkEnd w:id="15"/>
      <w:bookmarkEnd w:id="16"/>
      <w:r>
        <w:lastRenderedPageBreak/>
        <w:t>1</w:t>
      </w:r>
      <w:r>
        <w:tab/>
        <w:t>Samenvatting</w:t>
      </w:r>
      <w:bookmarkEnd w:id="19"/>
    </w:p>
    <w:p w14:paraId="3E8178C3" w14:textId="1BBFF643" w:rsidR="00B3437D" w:rsidRDefault="00B3437D" w:rsidP="00B3437D">
      <w:pPr>
        <w:pStyle w:val="Heading2"/>
        <w:tabs>
          <w:tab w:val="left" w:pos="-1162"/>
          <w:tab w:val="left" w:pos="0"/>
          <w:tab w:val="num" w:pos="1160"/>
        </w:tabs>
        <w:spacing w:line="240" w:lineRule="atLeast"/>
        <w:ind w:hanging="1162"/>
      </w:pPr>
      <w:bookmarkStart w:id="20" w:name="_Toc410397640"/>
      <w:bookmarkStart w:id="21" w:name="_Toc473812736"/>
      <w:bookmarkStart w:id="22" w:name="_Toc491437676"/>
      <w:r>
        <w:t xml:space="preserve">1.1 </w:t>
      </w:r>
      <w:r>
        <w:tab/>
        <w:t>Institutionele aspecten en functioneren</w:t>
      </w:r>
      <w:bookmarkEnd w:id="20"/>
      <w:bookmarkEnd w:id="21"/>
      <w:bookmarkEnd w:id="22"/>
    </w:p>
    <w:p w14:paraId="0802B0D4" w14:textId="61DC259B" w:rsidR="00B3437D" w:rsidRDefault="00B3437D" w:rsidP="00B3437D">
      <w:r>
        <w:t xml:space="preserve">De </w:t>
      </w:r>
      <w:r>
        <w:rPr>
          <w:i/>
        </w:rPr>
        <w:t xml:space="preserve">Inter-American Development Bank Group, </w:t>
      </w:r>
      <w:r>
        <w:t xml:space="preserve">bestaande uit de Bank (IDB), een private sector poot (IIC) en het </w:t>
      </w:r>
      <w:r w:rsidR="00A76E69">
        <w:t>innovatieve</w:t>
      </w:r>
      <w:r>
        <w:t xml:space="preserve"> fonds gericht op het MKB (MIF), levert belangrijke bijdragen aan de vermindering van armoede en ongelijkheid en de ontwikkeling van de private sector in Latijns-Amerika en het Caribisch gebied. </w:t>
      </w:r>
    </w:p>
    <w:p w14:paraId="6A465C47" w14:textId="77777777" w:rsidR="00B3437D" w:rsidRDefault="00B3437D" w:rsidP="00B3437D"/>
    <w:p w14:paraId="28E99CBD" w14:textId="67A58148" w:rsidR="001D4E9D" w:rsidRDefault="00B3437D" w:rsidP="00B3437D">
      <w:r>
        <w:t xml:space="preserve">De Bank onderscheidt zich </w:t>
      </w:r>
      <w:r w:rsidR="000700E2">
        <w:t>door</w:t>
      </w:r>
      <w:r>
        <w:t xml:space="preserve"> haar heldere strategie, afgestemd met de nationale ontwikkelingsdoelstellingen, en </w:t>
      </w:r>
      <w:r w:rsidR="000700E2">
        <w:t>door</w:t>
      </w:r>
      <w:r>
        <w:t xml:space="preserve"> haar resultaatgerichtheid, me</w:t>
      </w:r>
      <w:r w:rsidR="00A76E69">
        <w:t>t name door ver-doorgevoerde</w:t>
      </w:r>
      <w:r>
        <w:t xml:space="preserve"> </w:t>
      </w:r>
      <w:r>
        <w:rPr>
          <w:i/>
        </w:rPr>
        <w:t xml:space="preserve">Results Based Management </w:t>
      </w:r>
      <w:r>
        <w:t xml:space="preserve">en </w:t>
      </w:r>
      <w:r>
        <w:rPr>
          <w:i/>
        </w:rPr>
        <w:t xml:space="preserve">Budgeting. </w:t>
      </w:r>
      <w:r>
        <w:t xml:space="preserve">De IDB heeft een goede reputatie in de regio en wordt gewaardeerd als </w:t>
      </w:r>
      <w:r w:rsidR="00A76E69">
        <w:t>ontwikkelingsorganisatie</w:t>
      </w:r>
      <w:r>
        <w:t xml:space="preserve">, mede door haar duidelijke visie op het gebruik van partnerschappen. </w:t>
      </w:r>
    </w:p>
    <w:p w14:paraId="57EB709B" w14:textId="77777777" w:rsidR="001D4E9D" w:rsidRDefault="001D4E9D" w:rsidP="00B3437D"/>
    <w:p w14:paraId="5972A502" w14:textId="55C5A32B" w:rsidR="00B3437D" w:rsidRDefault="00B3437D" w:rsidP="00B3437D">
      <w:r>
        <w:t>De IDB</w:t>
      </w:r>
      <w:r w:rsidR="001101C9">
        <w:t>G</w:t>
      </w:r>
      <w:r>
        <w:t xml:space="preserve"> kan zich verder ontwikkelen in de uitvoering van haar operationeel beleid en het projectbeheer. Daarnaast zal de </w:t>
      </w:r>
      <w:r w:rsidR="001101C9">
        <w:t>Bank</w:t>
      </w:r>
      <w:r>
        <w:t xml:space="preserve"> zich moeten blijven richten op het verlagen van de administratieve uitgaven en het verb</w:t>
      </w:r>
      <w:r w:rsidR="001101C9">
        <w:t xml:space="preserve">eteren van de </w:t>
      </w:r>
      <w:r w:rsidR="002B48CD">
        <w:t>efficiëntie</w:t>
      </w:r>
      <w:r>
        <w:t>.</w:t>
      </w:r>
    </w:p>
    <w:p w14:paraId="1E312E7F" w14:textId="77777777" w:rsidR="00B3437D" w:rsidRPr="00B94C6E" w:rsidRDefault="00B3437D" w:rsidP="00B3437D"/>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8"/>
        <w:gridCol w:w="841"/>
        <w:gridCol w:w="852"/>
      </w:tblGrid>
      <w:tr w:rsidR="00831D63" w14:paraId="3DE7529E" w14:textId="77777777" w:rsidTr="00080877">
        <w:tc>
          <w:tcPr>
            <w:tcW w:w="5708" w:type="dxa"/>
            <w:tcBorders>
              <w:top w:val="single" w:sz="12" w:space="0" w:color="auto"/>
              <w:left w:val="single" w:sz="12" w:space="0" w:color="auto"/>
              <w:bottom w:val="single" w:sz="12" w:space="0" w:color="auto"/>
            </w:tcBorders>
            <w:shd w:val="clear" w:color="auto" w:fill="BFBFBF" w:themeFill="background1" w:themeFillShade="BF"/>
          </w:tcPr>
          <w:p w14:paraId="031FAD45" w14:textId="4886A862" w:rsidR="00831D63" w:rsidRDefault="00831D63" w:rsidP="00CE48A8">
            <w:r w:rsidRPr="008F1B70">
              <w:rPr>
                <w:b/>
              </w:rPr>
              <w:t xml:space="preserve">Institutionele aspecten </w:t>
            </w:r>
            <w:r>
              <w:rPr>
                <w:b/>
              </w:rPr>
              <w:t>en functioneren</w:t>
            </w:r>
          </w:p>
        </w:tc>
        <w:tc>
          <w:tcPr>
            <w:tcW w:w="841" w:type="dxa"/>
            <w:tcBorders>
              <w:top w:val="single" w:sz="12" w:space="0" w:color="auto"/>
              <w:bottom w:val="single" w:sz="12" w:space="0" w:color="auto"/>
            </w:tcBorders>
            <w:shd w:val="clear" w:color="auto" w:fill="BFBFBF" w:themeFill="background1" w:themeFillShade="BF"/>
          </w:tcPr>
          <w:p w14:paraId="7146D77A" w14:textId="77777777" w:rsidR="00831D63" w:rsidRDefault="00831D63" w:rsidP="00CE48A8">
            <w:r>
              <w:t>Score</w:t>
            </w:r>
          </w:p>
        </w:tc>
        <w:tc>
          <w:tcPr>
            <w:tcW w:w="852" w:type="dxa"/>
            <w:tcBorders>
              <w:top w:val="single" w:sz="12" w:space="0" w:color="auto"/>
              <w:bottom w:val="single" w:sz="12" w:space="0" w:color="auto"/>
              <w:right w:val="single" w:sz="12" w:space="0" w:color="auto"/>
            </w:tcBorders>
            <w:shd w:val="clear" w:color="auto" w:fill="BFBFBF" w:themeFill="background1" w:themeFillShade="BF"/>
          </w:tcPr>
          <w:p w14:paraId="45C551FE" w14:textId="1DF8A5EF" w:rsidR="00831D63" w:rsidRDefault="00C75A9A" w:rsidP="00CE48A8">
            <w:r>
              <w:t>Veran</w:t>
            </w:r>
            <w:r w:rsidR="00831D63">
              <w:t>dering</w:t>
            </w:r>
          </w:p>
        </w:tc>
      </w:tr>
      <w:tr w:rsidR="00831D63" w14:paraId="778CE5F8" w14:textId="77777777" w:rsidTr="00D24162">
        <w:tc>
          <w:tcPr>
            <w:tcW w:w="5708" w:type="dxa"/>
            <w:tcBorders>
              <w:top w:val="single" w:sz="12" w:space="0" w:color="auto"/>
              <w:left w:val="single" w:sz="12" w:space="0" w:color="auto"/>
            </w:tcBorders>
            <w:shd w:val="clear" w:color="auto" w:fill="auto"/>
          </w:tcPr>
          <w:p w14:paraId="5AAF7E2E" w14:textId="77777777" w:rsidR="00831D63" w:rsidRPr="00C26035" w:rsidRDefault="00831D63" w:rsidP="00CE48A8">
            <w:r>
              <w:t>Strategie en verantwoording</w:t>
            </w:r>
            <w:r w:rsidRPr="00C26035">
              <w:t xml:space="preserve"> </w:t>
            </w:r>
          </w:p>
        </w:tc>
        <w:tc>
          <w:tcPr>
            <w:tcW w:w="841" w:type="dxa"/>
            <w:tcBorders>
              <w:top w:val="single" w:sz="12" w:space="0" w:color="auto"/>
            </w:tcBorders>
            <w:shd w:val="clear" w:color="auto" w:fill="auto"/>
            <w:vAlign w:val="center"/>
          </w:tcPr>
          <w:p w14:paraId="1988823B" w14:textId="5D370699" w:rsidR="00831D63" w:rsidRDefault="001B5EBF" w:rsidP="00CE48A8">
            <w:pPr>
              <w:jc w:val="center"/>
            </w:pPr>
            <w:r>
              <w:t>4</w:t>
            </w:r>
          </w:p>
        </w:tc>
        <w:tc>
          <w:tcPr>
            <w:tcW w:w="852" w:type="dxa"/>
            <w:tcBorders>
              <w:top w:val="single" w:sz="12" w:space="0" w:color="auto"/>
              <w:right w:val="single" w:sz="12" w:space="0" w:color="auto"/>
            </w:tcBorders>
            <w:shd w:val="clear" w:color="auto" w:fill="auto"/>
            <w:vAlign w:val="center"/>
          </w:tcPr>
          <w:p w14:paraId="24F8CAE8" w14:textId="77777777" w:rsidR="00831D63" w:rsidRDefault="00831D63" w:rsidP="00CE48A8">
            <w:pPr>
              <w:jc w:val="center"/>
            </w:pPr>
            <w:r w:rsidRPr="00193994">
              <w:sym w:font="Wingdings" w:char="F0E8"/>
            </w:r>
          </w:p>
        </w:tc>
      </w:tr>
      <w:tr w:rsidR="00831D63" w14:paraId="49375973" w14:textId="77777777" w:rsidTr="00D24162">
        <w:tc>
          <w:tcPr>
            <w:tcW w:w="5708" w:type="dxa"/>
            <w:tcBorders>
              <w:left w:val="single" w:sz="12" w:space="0" w:color="auto"/>
            </w:tcBorders>
            <w:shd w:val="clear" w:color="auto" w:fill="auto"/>
          </w:tcPr>
          <w:p w14:paraId="28C32C73" w14:textId="77777777" w:rsidR="00831D63" w:rsidRDefault="00831D63" w:rsidP="00CE48A8">
            <w:r>
              <w:t>Resultaatgerichtheid en transparantie</w:t>
            </w:r>
          </w:p>
        </w:tc>
        <w:tc>
          <w:tcPr>
            <w:tcW w:w="841" w:type="dxa"/>
            <w:shd w:val="clear" w:color="auto" w:fill="auto"/>
            <w:vAlign w:val="center"/>
          </w:tcPr>
          <w:p w14:paraId="628CFD62" w14:textId="77777777" w:rsidR="00831D63" w:rsidRDefault="00831D63" w:rsidP="00CE48A8">
            <w:pPr>
              <w:jc w:val="center"/>
            </w:pPr>
            <w:r>
              <w:t>3</w:t>
            </w:r>
          </w:p>
        </w:tc>
        <w:tc>
          <w:tcPr>
            <w:tcW w:w="852" w:type="dxa"/>
            <w:tcBorders>
              <w:right w:val="single" w:sz="12" w:space="0" w:color="auto"/>
            </w:tcBorders>
            <w:shd w:val="clear" w:color="auto" w:fill="auto"/>
            <w:vAlign w:val="center"/>
          </w:tcPr>
          <w:p w14:paraId="55E18EFD" w14:textId="77777777" w:rsidR="00831D63" w:rsidRDefault="00831D63" w:rsidP="00CE48A8">
            <w:pPr>
              <w:jc w:val="center"/>
            </w:pPr>
            <w:r w:rsidRPr="00917719">
              <w:sym w:font="Wingdings" w:char="F0E8"/>
            </w:r>
          </w:p>
        </w:tc>
      </w:tr>
      <w:tr w:rsidR="00831D63" w14:paraId="58B06A05" w14:textId="77777777" w:rsidTr="00D24162">
        <w:tc>
          <w:tcPr>
            <w:tcW w:w="5708" w:type="dxa"/>
            <w:tcBorders>
              <w:left w:val="single" w:sz="12" w:space="0" w:color="auto"/>
            </w:tcBorders>
            <w:shd w:val="clear" w:color="auto" w:fill="auto"/>
          </w:tcPr>
          <w:p w14:paraId="2CB31D10" w14:textId="77777777" w:rsidR="00831D63" w:rsidRDefault="00831D63" w:rsidP="00CE48A8">
            <w:r>
              <w:t>Partnerschappen en samenwerking</w:t>
            </w:r>
          </w:p>
        </w:tc>
        <w:tc>
          <w:tcPr>
            <w:tcW w:w="841" w:type="dxa"/>
            <w:shd w:val="clear" w:color="auto" w:fill="auto"/>
            <w:vAlign w:val="center"/>
          </w:tcPr>
          <w:p w14:paraId="6E6EBB9D" w14:textId="77777777" w:rsidR="00831D63" w:rsidRDefault="00831D63" w:rsidP="00CE48A8">
            <w:pPr>
              <w:jc w:val="center"/>
            </w:pPr>
            <w:r>
              <w:t>4</w:t>
            </w:r>
          </w:p>
        </w:tc>
        <w:tc>
          <w:tcPr>
            <w:tcW w:w="852" w:type="dxa"/>
            <w:tcBorders>
              <w:right w:val="single" w:sz="12" w:space="0" w:color="auto"/>
            </w:tcBorders>
            <w:shd w:val="clear" w:color="auto" w:fill="auto"/>
            <w:vAlign w:val="center"/>
          </w:tcPr>
          <w:p w14:paraId="292056D8" w14:textId="77777777" w:rsidR="00831D63" w:rsidRDefault="00831D63" w:rsidP="00CE48A8">
            <w:pPr>
              <w:jc w:val="center"/>
            </w:pPr>
            <w:r w:rsidRPr="00193994">
              <w:sym w:font="Wingdings" w:char="F0E9"/>
            </w:r>
          </w:p>
        </w:tc>
      </w:tr>
      <w:tr w:rsidR="00831D63" w14:paraId="2A3D1BC9" w14:textId="77777777" w:rsidTr="00D24162">
        <w:tc>
          <w:tcPr>
            <w:tcW w:w="5708" w:type="dxa"/>
            <w:tcBorders>
              <w:left w:val="single" w:sz="12" w:space="0" w:color="auto"/>
            </w:tcBorders>
            <w:shd w:val="clear" w:color="auto" w:fill="auto"/>
          </w:tcPr>
          <w:p w14:paraId="6A8EEDD5" w14:textId="77777777" w:rsidR="00831D63" w:rsidRPr="00C26035" w:rsidRDefault="00831D63" w:rsidP="00CE48A8">
            <w:r>
              <w:t>Operationeel management</w:t>
            </w:r>
          </w:p>
        </w:tc>
        <w:tc>
          <w:tcPr>
            <w:tcW w:w="841" w:type="dxa"/>
            <w:shd w:val="clear" w:color="auto" w:fill="auto"/>
            <w:vAlign w:val="center"/>
          </w:tcPr>
          <w:p w14:paraId="0846E1E5" w14:textId="77777777" w:rsidR="00831D63" w:rsidRDefault="00831D63" w:rsidP="00CE48A8">
            <w:pPr>
              <w:jc w:val="center"/>
            </w:pPr>
            <w:r>
              <w:t>3</w:t>
            </w:r>
          </w:p>
        </w:tc>
        <w:tc>
          <w:tcPr>
            <w:tcW w:w="852" w:type="dxa"/>
            <w:tcBorders>
              <w:right w:val="single" w:sz="12" w:space="0" w:color="auto"/>
            </w:tcBorders>
            <w:shd w:val="clear" w:color="auto" w:fill="auto"/>
            <w:vAlign w:val="center"/>
          </w:tcPr>
          <w:p w14:paraId="2254CCAF" w14:textId="77777777" w:rsidR="00831D63" w:rsidRDefault="00831D63" w:rsidP="00CE48A8">
            <w:pPr>
              <w:jc w:val="center"/>
            </w:pPr>
            <w:r w:rsidRPr="00193994">
              <w:sym w:font="Wingdings" w:char="F0E8"/>
            </w:r>
          </w:p>
        </w:tc>
      </w:tr>
      <w:tr w:rsidR="00831D63" w14:paraId="723638A6" w14:textId="77777777" w:rsidTr="00D24162">
        <w:tc>
          <w:tcPr>
            <w:tcW w:w="5708" w:type="dxa"/>
            <w:tcBorders>
              <w:left w:val="single" w:sz="12" w:space="0" w:color="auto"/>
            </w:tcBorders>
            <w:shd w:val="clear" w:color="auto" w:fill="auto"/>
          </w:tcPr>
          <w:p w14:paraId="41E5A9BF" w14:textId="77777777" w:rsidR="00831D63" w:rsidRPr="00C26035" w:rsidRDefault="00831D63" w:rsidP="00CE48A8">
            <w:r>
              <w:t>Beleidsevaluatie</w:t>
            </w:r>
          </w:p>
        </w:tc>
        <w:tc>
          <w:tcPr>
            <w:tcW w:w="841" w:type="dxa"/>
            <w:shd w:val="clear" w:color="auto" w:fill="auto"/>
            <w:vAlign w:val="center"/>
          </w:tcPr>
          <w:p w14:paraId="22ADE38C" w14:textId="77777777" w:rsidR="00831D63" w:rsidRDefault="00831D63" w:rsidP="00CE48A8">
            <w:pPr>
              <w:jc w:val="center"/>
            </w:pPr>
            <w:r>
              <w:t>3</w:t>
            </w:r>
          </w:p>
        </w:tc>
        <w:tc>
          <w:tcPr>
            <w:tcW w:w="852" w:type="dxa"/>
            <w:tcBorders>
              <w:right w:val="single" w:sz="12" w:space="0" w:color="auto"/>
            </w:tcBorders>
            <w:shd w:val="clear" w:color="auto" w:fill="auto"/>
            <w:vAlign w:val="center"/>
          </w:tcPr>
          <w:p w14:paraId="03FF3F90" w14:textId="77777777" w:rsidR="00831D63" w:rsidRDefault="00831D63" w:rsidP="00CE48A8">
            <w:pPr>
              <w:jc w:val="center"/>
            </w:pPr>
            <w:r w:rsidRPr="00193994">
              <w:sym w:font="Wingdings" w:char="F0E8"/>
            </w:r>
          </w:p>
        </w:tc>
      </w:tr>
      <w:tr w:rsidR="00831D63" w14:paraId="156C93E9" w14:textId="77777777" w:rsidTr="00D24162">
        <w:tc>
          <w:tcPr>
            <w:tcW w:w="5708" w:type="dxa"/>
            <w:tcBorders>
              <w:left w:val="single" w:sz="12" w:space="0" w:color="auto"/>
            </w:tcBorders>
            <w:shd w:val="clear" w:color="auto" w:fill="auto"/>
          </w:tcPr>
          <w:p w14:paraId="0F8BCD54" w14:textId="77777777" w:rsidR="00831D63" w:rsidRPr="00C26035" w:rsidRDefault="00831D63" w:rsidP="00CE48A8">
            <w:r w:rsidRPr="00C26035">
              <w:t>Human Resource Management</w:t>
            </w:r>
          </w:p>
        </w:tc>
        <w:tc>
          <w:tcPr>
            <w:tcW w:w="841" w:type="dxa"/>
            <w:shd w:val="clear" w:color="auto" w:fill="auto"/>
            <w:vAlign w:val="center"/>
          </w:tcPr>
          <w:p w14:paraId="0150B6EF" w14:textId="77777777" w:rsidR="00831D63" w:rsidRDefault="00831D63" w:rsidP="00CE48A8">
            <w:pPr>
              <w:jc w:val="center"/>
            </w:pPr>
            <w:r>
              <w:t>3</w:t>
            </w:r>
          </w:p>
        </w:tc>
        <w:tc>
          <w:tcPr>
            <w:tcW w:w="852" w:type="dxa"/>
            <w:tcBorders>
              <w:right w:val="single" w:sz="12" w:space="0" w:color="auto"/>
            </w:tcBorders>
            <w:shd w:val="clear" w:color="auto" w:fill="auto"/>
            <w:vAlign w:val="center"/>
          </w:tcPr>
          <w:p w14:paraId="108690C5" w14:textId="77777777" w:rsidR="00831D63" w:rsidRDefault="00831D63" w:rsidP="00CE48A8">
            <w:pPr>
              <w:jc w:val="center"/>
            </w:pPr>
            <w:r w:rsidRPr="00193994">
              <w:sym w:font="Wingdings" w:char="F0E9"/>
            </w:r>
          </w:p>
        </w:tc>
      </w:tr>
      <w:tr w:rsidR="00831D63" w14:paraId="550B2CEA" w14:textId="77777777" w:rsidTr="00D24162">
        <w:tc>
          <w:tcPr>
            <w:tcW w:w="5708" w:type="dxa"/>
            <w:tcBorders>
              <w:left w:val="single" w:sz="12" w:space="0" w:color="auto"/>
            </w:tcBorders>
            <w:shd w:val="clear" w:color="auto" w:fill="auto"/>
          </w:tcPr>
          <w:p w14:paraId="37097BCE" w14:textId="77777777" w:rsidR="00831D63" w:rsidRPr="00445FEE" w:rsidRDefault="00831D63" w:rsidP="00CE48A8">
            <w:r w:rsidRPr="00445FEE">
              <w:t xml:space="preserve">Financiële </w:t>
            </w:r>
            <w:r>
              <w:t>stabiliteit</w:t>
            </w:r>
          </w:p>
        </w:tc>
        <w:tc>
          <w:tcPr>
            <w:tcW w:w="841" w:type="dxa"/>
            <w:shd w:val="clear" w:color="auto" w:fill="auto"/>
            <w:vAlign w:val="center"/>
          </w:tcPr>
          <w:p w14:paraId="01DF6C70" w14:textId="77777777" w:rsidR="00831D63" w:rsidRDefault="00831D63" w:rsidP="00CE48A8">
            <w:pPr>
              <w:jc w:val="center"/>
            </w:pPr>
            <w:r>
              <w:t>3</w:t>
            </w:r>
          </w:p>
        </w:tc>
        <w:tc>
          <w:tcPr>
            <w:tcW w:w="852" w:type="dxa"/>
            <w:tcBorders>
              <w:right w:val="single" w:sz="12" w:space="0" w:color="auto"/>
            </w:tcBorders>
            <w:shd w:val="clear" w:color="auto" w:fill="auto"/>
            <w:vAlign w:val="center"/>
          </w:tcPr>
          <w:p w14:paraId="734FBCCE" w14:textId="77777777" w:rsidR="00831D63" w:rsidRDefault="00831D63" w:rsidP="00CE48A8">
            <w:pPr>
              <w:jc w:val="center"/>
            </w:pPr>
            <w:r w:rsidRPr="00193994">
              <w:sym w:font="Wingdings" w:char="F0E8"/>
            </w:r>
          </w:p>
        </w:tc>
      </w:tr>
      <w:tr w:rsidR="00831D63" w14:paraId="229CAB72" w14:textId="77777777" w:rsidTr="00D24162">
        <w:tc>
          <w:tcPr>
            <w:tcW w:w="5708" w:type="dxa"/>
            <w:tcBorders>
              <w:left w:val="single" w:sz="12" w:space="0" w:color="auto"/>
            </w:tcBorders>
            <w:shd w:val="clear" w:color="auto" w:fill="auto"/>
          </w:tcPr>
          <w:p w14:paraId="712B6928" w14:textId="3EE0C398" w:rsidR="00831D63" w:rsidRPr="00445FEE" w:rsidRDefault="00831D63" w:rsidP="00B66F9A">
            <w:r>
              <w:t>Kosten</w:t>
            </w:r>
            <w:r w:rsidR="00B66F9A">
              <w:t>reductie</w:t>
            </w:r>
          </w:p>
        </w:tc>
        <w:tc>
          <w:tcPr>
            <w:tcW w:w="841" w:type="dxa"/>
            <w:shd w:val="clear" w:color="auto" w:fill="auto"/>
            <w:vAlign w:val="center"/>
          </w:tcPr>
          <w:p w14:paraId="296E1E31" w14:textId="2D21C5C9" w:rsidR="00831D63" w:rsidRDefault="008D3C27" w:rsidP="00CE48A8">
            <w:pPr>
              <w:jc w:val="center"/>
            </w:pPr>
            <w:r>
              <w:t>3</w:t>
            </w:r>
          </w:p>
        </w:tc>
        <w:tc>
          <w:tcPr>
            <w:tcW w:w="852" w:type="dxa"/>
            <w:tcBorders>
              <w:right w:val="single" w:sz="12" w:space="0" w:color="auto"/>
            </w:tcBorders>
            <w:shd w:val="clear" w:color="auto" w:fill="auto"/>
            <w:vAlign w:val="center"/>
          </w:tcPr>
          <w:p w14:paraId="0088FE9E" w14:textId="77777777" w:rsidR="00831D63" w:rsidRDefault="00831D63" w:rsidP="00CE48A8">
            <w:pPr>
              <w:jc w:val="center"/>
            </w:pPr>
            <w:r w:rsidRPr="00193994">
              <w:sym w:font="Wingdings" w:char="F0E8"/>
            </w:r>
          </w:p>
        </w:tc>
      </w:tr>
      <w:tr w:rsidR="00831D63" w14:paraId="70F22FBD" w14:textId="77777777" w:rsidTr="00D24162">
        <w:tc>
          <w:tcPr>
            <w:tcW w:w="5708" w:type="dxa"/>
            <w:tcBorders>
              <w:left w:val="single" w:sz="12" w:space="0" w:color="auto"/>
              <w:bottom w:val="single" w:sz="12" w:space="0" w:color="auto"/>
            </w:tcBorders>
            <w:shd w:val="clear" w:color="auto" w:fill="auto"/>
          </w:tcPr>
          <w:p w14:paraId="51EE3994" w14:textId="393DA184" w:rsidR="00831D63" w:rsidRPr="0073028B" w:rsidRDefault="00D636C5" w:rsidP="00CE48A8">
            <w:r>
              <w:t>Corruptiebestrijding</w:t>
            </w:r>
          </w:p>
        </w:tc>
        <w:tc>
          <w:tcPr>
            <w:tcW w:w="841" w:type="dxa"/>
            <w:tcBorders>
              <w:bottom w:val="single" w:sz="12" w:space="0" w:color="auto"/>
            </w:tcBorders>
            <w:shd w:val="clear" w:color="auto" w:fill="auto"/>
            <w:vAlign w:val="center"/>
          </w:tcPr>
          <w:p w14:paraId="3B23D688" w14:textId="77777777" w:rsidR="00831D63" w:rsidRPr="0073028B" w:rsidRDefault="00831D63" w:rsidP="00CE48A8">
            <w:pPr>
              <w:jc w:val="center"/>
            </w:pPr>
            <w:r w:rsidRPr="0073028B">
              <w:t>3</w:t>
            </w:r>
          </w:p>
        </w:tc>
        <w:tc>
          <w:tcPr>
            <w:tcW w:w="852" w:type="dxa"/>
            <w:tcBorders>
              <w:bottom w:val="single" w:sz="12" w:space="0" w:color="auto"/>
              <w:right w:val="single" w:sz="12" w:space="0" w:color="auto"/>
            </w:tcBorders>
            <w:shd w:val="clear" w:color="auto" w:fill="auto"/>
            <w:vAlign w:val="center"/>
          </w:tcPr>
          <w:p w14:paraId="68E9EB3B" w14:textId="77777777" w:rsidR="00831D63" w:rsidRPr="0073028B" w:rsidRDefault="00831D63" w:rsidP="00CE48A8">
            <w:pPr>
              <w:jc w:val="center"/>
            </w:pPr>
            <w:r w:rsidRPr="0073028B">
              <w:sym w:font="Wingdings" w:char="F0E8"/>
            </w:r>
          </w:p>
        </w:tc>
      </w:tr>
    </w:tbl>
    <w:p w14:paraId="161E68CA" w14:textId="4886FF87" w:rsidR="00B3437D" w:rsidRDefault="00B3437D" w:rsidP="00B3437D"/>
    <w:p w14:paraId="17AE85AB" w14:textId="337D4C92" w:rsidR="00831D63" w:rsidRPr="00193994" w:rsidRDefault="00831D63" w:rsidP="00831D63">
      <w:pPr>
        <w:ind w:firstLine="227"/>
      </w:pPr>
      <w:r>
        <w:t>B</w:t>
      </w:r>
      <w:r w:rsidRPr="00193994">
        <w:t xml:space="preserve">eoordeling: </w:t>
      </w:r>
      <w:r>
        <w:t>Onvoldoende = 1, Matig = 2, Voldoende = 3, Goed</w:t>
      </w:r>
      <w:r w:rsidRPr="00193994">
        <w:t xml:space="preserve"> = 4</w:t>
      </w:r>
    </w:p>
    <w:p w14:paraId="05DB31E4" w14:textId="7B0A9973" w:rsidR="003F17A2" w:rsidRPr="003F17A2" w:rsidRDefault="00831D63" w:rsidP="003F17A2">
      <w:pPr>
        <w:ind w:firstLine="227"/>
        <w:rPr>
          <w:rFonts w:ascii="Segoe UI Emoji" w:eastAsia="Segoe UI Emoji" w:hAnsi="Segoe UI Emoji" w:cs="Segoe UI Emoji"/>
          <w:b/>
          <w:noProof/>
        </w:rPr>
      </w:pPr>
      <w:r w:rsidRPr="00193994">
        <w:t>Ver</w:t>
      </w:r>
      <w:r>
        <w:t>andering sinds 2015: Neutraal</w:t>
      </w:r>
      <w:r w:rsidRPr="00193994">
        <w:t xml:space="preserve"> = </w:t>
      </w:r>
      <w:r w:rsidRPr="00193994">
        <w:sym w:font="Wingdings" w:char="F0E8"/>
      </w:r>
      <w:r>
        <w:t xml:space="preserve">, Positief = </w:t>
      </w:r>
      <w:r w:rsidRPr="00193994">
        <w:sym w:font="Wingdings" w:char="F0E9"/>
      </w:r>
      <w:r>
        <w:t xml:space="preserve">, Negatief = </w:t>
      </w:r>
      <w:r w:rsidRPr="00DC2083">
        <w:rPr>
          <w:rFonts w:ascii="Segoe UI Emoji" w:eastAsia="Segoe UI Emoji" w:hAnsi="Segoe UI Emoji" w:cs="Segoe UI Emoji"/>
          <w:b/>
          <w:noProof/>
        </w:rPr>
        <w:sym w:font="Wingdings" w:char="F0EA"/>
      </w:r>
    </w:p>
    <w:p w14:paraId="27A6BC11" w14:textId="714B4EEE" w:rsidR="00B3437D" w:rsidRDefault="00B3437D" w:rsidP="00B3437D">
      <w:pPr>
        <w:pStyle w:val="Heading2"/>
        <w:tabs>
          <w:tab w:val="left" w:pos="-1162"/>
          <w:tab w:val="left" w:pos="0"/>
          <w:tab w:val="num" w:pos="1160"/>
        </w:tabs>
        <w:spacing w:line="240" w:lineRule="atLeast"/>
        <w:ind w:hanging="1162"/>
      </w:pPr>
      <w:bookmarkStart w:id="23" w:name="_Toc410397641"/>
      <w:bookmarkStart w:id="24" w:name="_Toc473812737"/>
      <w:bookmarkStart w:id="25" w:name="_Toc491437677"/>
      <w:r>
        <w:t xml:space="preserve">1.2 </w:t>
      </w:r>
      <w:r>
        <w:tab/>
        <w:t>Beleidsrelevantie</w:t>
      </w:r>
      <w:bookmarkEnd w:id="23"/>
      <w:bookmarkEnd w:id="24"/>
      <w:bookmarkEnd w:id="25"/>
    </w:p>
    <w:p w14:paraId="428991DF" w14:textId="1DB33596" w:rsidR="00B3437D" w:rsidRDefault="00B3437D" w:rsidP="00B3437D">
      <w:r>
        <w:t xml:space="preserve">De IDB richt zich enkel op </w:t>
      </w:r>
      <w:r w:rsidR="001063AC">
        <w:t>Latijns-Amerika</w:t>
      </w:r>
      <w:r>
        <w:t xml:space="preserve"> en </w:t>
      </w:r>
      <w:r w:rsidR="001063AC">
        <w:t>de Caraïben</w:t>
      </w:r>
      <w:r>
        <w:t xml:space="preserve">, hiermee </w:t>
      </w:r>
      <w:r w:rsidR="000700E2">
        <w:t>valt het beleid van</w:t>
      </w:r>
      <w:r>
        <w:t xml:space="preserve"> de</w:t>
      </w:r>
      <w:r w:rsidR="000700E2">
        <w:t xml:space="preserve"> Bank niet binnen de Nederlandse prioritaire regio’s. </w:t>
      </w:r>
      <w:r>
        <w:t xml:space="preserve">Uiteraard </w:t>
      </w:r>
      <w:r w:rsidR="008D3D49">
        <w:t>is</w:t>
      </w:r>
      <w:r>
        <w:t xml:space="preserve"> de </w:t>
      </w:r>
      <w:r w:rsidR="001063AC">
        <w:t xml:space="preserve">stabiliteit en </w:t>
      </w:r>
      <w:r>
        <w:t xml:space="preserve">ontwikkeling </w:t>
      </w:r>
      <w:r w:rsidR="001063AC">
        <w:t>van</w:t>
      </w:r>
      <w:r>
        <w:t xml:space="preserve"> de regio van belang voor de overzeese Koninkrijksdelen. </w:t>
      </w:r>
    </w:p>
    <w:p w14:paraId="32ADEC9B" w14:textId="77777777" w:rsidR="00B3437D" w:rsidRDefault="00B3437D" w:rsidP="00B3437D"/>
    <w:p w14:paraId="555AD2EB" w14:textId="5447779C" w:rsidR="00B3437D" w:rsidRDefault="00B3437D" w:rsidP="00B3437D">
      <w:r>
        <w:t>Met de IIC en het MIF als onderdeel van de IDBG is de organisatie relevant voor de private sector ontwikkeling. Verder draagt de Bank ook in aanzienlijke mate bij aan gendergel</w:t>
      </w:r>
      <w:r w:rsidR="00A76E69">
        <w:t xml:space="preserve">ijkheid, economische integratie, </w:t>
      </w:r>
      <w:r>
        <w:t xml:space="preserve">klimaat en duurzame energie. </w:t>
      </w:r>
    </w:p>
    <w:p w14:paraId="185A6EB2" w14:textId="58DD9F86" w:rsidR="00B3437D" w:rsidRDefault="00B3437D" w:rsidP="00B343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1537"/>
        <w:gridCol w:w="1582"/>
        <w:gridCol w:w="1332"/>
      </w:tblGrid>
      <w:tr w:rsidR="00B3437D" w14:paraId="008E01C0" w14:textId="77777777" w:rsidTr="00080877">
        <w:tc>
          <w:tcPr>
            <w:tcW w:w="3246" w:type="dxa"/>
            <w:tcBorders>
              <w:top w:val="single" w:sz="12" w:space="0" w:color="auto"/>
              <w:left w:val="single" w:sz="12" w:space="0" w:color="auto"/>
              <w:bottom w:val="single" w:sz="12" w:space="0" w:color="auto"/>
            </w:tcBorders>
            <w:shd w:val="clear" w:color="auto" w:fill="BFBFBF" w:themeFill="background1" w:themeFillShade="BF"/>
          </w:tcPr>
          <w:p w14:paraId="605556AA" w14:textId="77777777" w:rsidR="00B3437D" w:rsidRDefault="00B3437D" w:rsidP="00CE48A8">
            <w:pPr>
              <w:jc w:val="right"/>
            </w:pPr>
          </w:p>
        </w:tc>
        <w:tc>
          <w:tcPr>
            <w:tcW w:w="1537" w:type="dxa"/>
            <w:tcBorders>
              <w:top w:val="single" w:sz="12" w:space="0" w:color="auto"/>
              <w:bottom w:val="single" w:sz="12" w:space="0" w:color="auto"/>
            </w:tcBorders>
            <w:shd w:val="clear" w:color="auto" w:fill="BFBFBF" w:themeFill="background1" w:themeFillShade="BF"/>
          </w:tcPr>
          <w:p w14:paraId="44EA93D8" w14:textId="77777777" w:rsidR="00B3437D" w:rsidRPr="00D94DB4" w:rsidRDefault="00B3437D" w:rsidP="00CE48A8">
            <w:pPr>
              <w:rPr>
                <w:b/>
              </w:rPr>
            </w:pPr>
            <w:r w:rsidRPr="00D94DB4">
              <w:rPr>
                <w:b/>
              </w:rPr>
              <w:t>Uitvoerend</w:t>
            </w:r>
          </w:p>
        </w:tc>
        <w:tc>
          <w:tcPr>
            <w:tcW w:w="1582" w:type="dxa"/>
            <w:tcBorders>
              <w:top w:val="single" w:sz="12" w:space="0" w:color="auto"/>
              <w:bottom w:val="single" w:sz="12" w:space="0" w:color="auto"/>
            </w:tcBorders>
            <w:shd w:val="clear" w:color="auto" w:fill="BFBFBF" w:themeFill="background1" w:themeFillShade="BF"/>
          </w:tcPr>
          <w:p w14:paraId="7636A85F" w14:textId="77777777" w:rsidR="00B3437D" w:rsidRPr="00D94DB4" w:rsidRDefault="00B3437D" w:rsidP="00CE48A8">
            <w:pPr>
              <w:rPr>
                <w:b/>
              </w:rPr>
            </w:pPr>
            <w:r w:rsidRPr="00D94DB4">
              <w:rPr>
                <w:b/>
              </w:rPr>
              <w:t>Coördinerend</w:t>
            </w:r>
          </w:p>
        </w:tc>
        <w:tc>
          <w:tcPr>
            <w:tcW w:w="1332" w:type="dxa"/>
            <w:tcBorders>
              <w:top w:val="single" w:sz="12" w:space="0" w:color="auto"/>
              <w:bottom w:val="single" w:sz="12" w:space="0" w:color="auto"/>
              <w:right w:val="single" w:sz="12" w:space="0" w:color="auto"/>
            </w:tcBorders>
            <w:shd w:val="clear" w:color="auto" w:fill="BFBFBF" w:themeFill="background1" w:themeFillShade="BF"/>
          </w:tcPr>
          <w:p w14:paraId="29E63BB9" w14:textId="77777777" w:rsidR="00B3437D" w:rsidRPr="00D94DB4" w:rsidRDefault="00B3437D" w:rsidP="00CE48A8">
            <w:pPr>
              <w:rPr>
                <w:b/>
              </w:rPr>
            </w:pPr>
            <w:r w:rsidRPr="00D94DB4">
              <w:rPr>
                <w:b/>
              </w:rPr>
              <w:t>Normatief</w:t>
            </w:r>
          </w:p>
        </w:tc>
      </w:tr>
      <w:tr w:rsidR="00B3437D" w14:paraId="7D3F707C" w14:textId="77777777" w:rsidTr="00080877">
        <w:tc>
          <w:tcPr>
            <w:tcW w:w="7697" w:type="dxa"/>
            <w:gridSpan w:val="4"/>
            <w:tcBorders>
              <w:top w:val="single" w:sz="12" w:space="0" w:color="auto"/>
              <w:left w:val="single" w:sz="12" w:space="0" w:color="auto"/>
              <w:right w:val="single" w:sz="12" w:space="0" w:color="auto"/>
            </w:tcBorders>
            <w:shd w:val="clear" w:color="auto" w:fill="BFBFBF" w:themeFill="background1" w:themeFillShade="BF"/>
          </w:tcPr>
          <w:p w14:paraId="26B15CBC" w14:textId="41C9D817" w:rsidR="00B3437D" w:rsidRPr="00D94DB4" w:rsidRDefault="00B3437D" w:rsidP="00CE48A8">
            <w:pPr>
              <w:rPr>
                <w:b/>
              </w:rPr>
            </w:pPr>
            <w:r>
              <w:rPr>
                <w:b/>
              </w:rPr>
              <w:t>Relevantie voor de Nederlandse BHOS-prioriteiten</w:t>
            </w:r>
          </w:p>
        </w:tc>
      </w:tr>
      <w:tr w:rsidR="00B3437D" w14:paraId="26EA9378" w14:textId="77777777" w:rsidTr="007B1E03">
        <w:tc>
          <w:tcPr>
            <w:tcW w:w="3246" w:type="dxa"/>
            <w:tcBorders>
              <w:top w:val="single" w:sz="12" w:space="0" w:color="auto"/>
              <w:left w:val="single" w:sz="12" w:space="0" w:color="auto"/>
            </w:tcBorders>
            <w:shd w:val="clear" w:color="auto" w:fill="auto"/>
          </w:tcPr>
          <w:p w14:paraId="05CB3D3C" w14:textId="77777777" w:rsidR="00B3437D" w:rsidRDefault="00B3437D" w:rsidP="00CE48A8">
            <w:r>
              <w:t>Voedselzekerheid</w:t>
            </w:r>
          </w:p>
        </w:tc>
        <w:tc>
          <w:tcPr>
            <w:tcW w:w="1537" w:type="dxa"/>
            <w:tcBorders>
              <w:top w:val="single" w:sz="12" w:space="0" w:color="auto"/>
            </w:tcBorders>
            <w:shd w:val="clear" w:color="auto" w:fill="auto"/>
          </w:tcPr>
          <w:p w14:paraId="60F8E7C2" w14:textId="77777777" w:rsidR="00B3437D" w:rsidRDefault="00B3437D" w:rsidP="006150B7">
            <w:pPr>
              <w:jc w:val="center"/>
            </w:pPr>
            <w:r>
              <w:t>2</w:t>
            </w:r>
          </w:p>
        </w:tc>
        <w:tc>
          <w:tcPr>
            <w:tcW w:w="1582" w:type="dxa"/>
            <w:tcBorders>
              <w:top w:val="single" w:sz="12" w:space="0" w:color="auto"/>
            </w:tcBorders>
            <w:shd w:val="clear" w:color="auto" w:fill="auto"/>
          </w:tcPr>
          <w:p w14:paraId="47DFE9D3" w14:textId="77777777" w:rsidR="00B3437D" w:rsidRDefault="00B3437D" w:rsidP="00CE48A8"/>
        </w:tc>
        <w:tc>
          <w:tcPr>
            <w:tcW w:w="1332" w:type="dxa"/>
            <w:tcBorders>
              <w:top w:val="single" w:sz="12" w:space="0" w:color="auto"/>
              <w:right w:val="single" w:sz="12" w:space="0" w:color="auto"/>
            </w:tcBorders>
            <w:shd w:val="clear" w:color="auto" w:fill="auto"/>
          </w:tcPr>
          <w:p w14:paraId="741A1027" w14:textId="77777777" w:rsidR="00B3437D" w:rsidRDefault="00B3437D" w:rsidP="00CE48A8"/>
        </w:tc>
      </w:tr>
      <w:tr w:rsidR="00B3437D" w14:paraId="60618DED" w14:textId="77777777" w:rsidTr="007B1E03">
        <w:tc>
          <w:tcPr>
            <w:tcW w:w="3246" w:type="dxa"/>
            <w:tcBorders>
              <w:left w:val="single" w:sz="12" w:space="0" w:color="auto"/>
            </w:tcBorders>
            <w:shd w:val="clear" w:color="auto" w:fill="auto"/>
          </w:tcPr>
          <w:p w14:paraId="10281A45" w14:textId="77777777" w:rsidR="00B3437D" w:rsidRDefault="00B3437D" w:rsidP="00CE48A8">
            <w:r>
              <w:t>Gendergelijkheid</w:t>
            </w:r>
          </w:p>
        </w:tc>
        <w:tc>
          <w:tcPr>
            <w:tcW w:w="1537" w:type="dxa"/>
            <w:shd w:val="clear" w:color="auto" w:fill="auto"/>
          </w:tcPr>
          <w:p w14:paraId="6D847AF7" w14:textId="77777777" w:rsidR="00B3437D" w:rsidRDefault="00B3437D" w:rsidP="006150B7">
            <w:pPr>
              <w:jc w:val="center"/>
            </w:pPr>
            <w:r>
              <w:t>3</w:t>
            </w:r>
          </w:p>
        </w:tc>
        <w:tc>
          <w:tcPr>
            <w:tcW w:w="1582" w:type="dxa"/>
            <w:shd w:val="clear" w:color="auto" w:fill="auto"/>
          </w:tcPr>
          <w:p w14:paraId="0E6E54E3" w14:textId="77777777" w:rsidR="00B3437D" w:rsidRDefault="00B3437D" w:rsidP="00CE48A8"/>
        </w:tc>
        <w:tc>
          <w:tcPr>
            <w:tcW w:w="1332" w:type="dxa"/>
            <w:tcBorders>
              <w:right w:val="single" w:sz="12" w:space="0" w:color="auto"/>
            </w:tcBorders>
            <w:shd w:val="clear" w:color="auto" w:fill="auto"/>
          </w:tcPr>
          <w:p w14:paraId="39BB4562" w14:textId="77777777" w:rsidR="00B3437D" w:rsidRDefault="00B3437D" w:rsidP="00CE48A8"/>
        </w:tc>
      </w:tr>
      <w:tr w:rsidR="00B3437D" w14:paraId="343B463E" w14:textId="77777777" w:rsidTr="007B1E03">
        <w:tc>
          <w:tcPr>
            <w:tcW w:w="3246" w:type="dxa"/>
            <w:tcBorders>
              <w:left w:val="single" w:sz="12" w:space="0" w:color="auto"/>
            </w:tcBorders>
            <w:shd w:val="clear" w:color="auto" w:fill="auto"/>
          </w:tcPr>
          <w:p w14:paraId="198EA853" w14:textId="77777777" w:rsidR="00B3437D" w:rsidRDefault="00B3437D" w:rsidP="00CE48A8">
            <w:r>
              <w:t>Klimaat</w:t>
            </w:r>
          </w:p>
        </w:tc>
        <w:tc>
          <w:tcPr>
            <w:tcW w:w="1537" w:type="dxa"/>
            <w:shd w:val="clear" w:color="auto" w:fill="auto"/>
          </w:tcPr>
          <w:p w14:paraId="10DC28DC" w14:textId="77777777" w:rsidR="00B3437D" w:rsidRDefault="00B3437D" w:rsidP="006150B7">
            <w:pPr>
              <w:jc w:val="center"/>
            </w:pPr>
            <w:r>
              <w:t>3</w:t>
            </w:r>
          </w:p>
        </w:tc>
        <w:tc>
          <w:tcPr>
            <w:tcW w:w="1582" w:type="dxa"/>
            <w:shd w:val="clear" w:color="auto" w:fill="auto"/>
          </w:tcPr>
          <w:p w14:paraId="691835F1" w14:textId="77777777" w:rsidR="00B3437D" w:rsidRDefault="00B3437D" w:rsidP="00CE48A8"/>
        </w:tc>
        <w:tc>
          <w:tcPr>
            <w:tcW w:w="1332" w:type="dxa"/>
            <w:tcBorders>
              <w:right w:val="single" w:sz="12" w:space="0" w:color="auto"/>
            </w:tcBorders>
            <w:shd w:val="clear" w:color="auto" w:fill="auto"/>
          </w:tcPr>
          <w:p w14:paraId="60DA5D54" w14:textId="77777777" w:rsidR="00B3437D" w:rsidRDefault="00B3437D" w:rsidP="00CE48A8"/>
        </w:tc>
      </w:tr>
      <w:tr w:rsidR="00B3437D" w14:paraId="71DDD628" w14:textId="77777777" w:rsidTr="00B66F9A">
        <w:tc>
          <w:tcPr>
            <w:tcW w:w="3246" w:type="dxa"/>
            <w:tcBorders>
              <w:left w:val="single" w:sz="12" w:space="0" w:color="auto"/>
              <w:bottom w:val="single" w:sz="12" w:space="0" w:color="auto"/>
            </w:tcBorders>
            <w:shd w:val="clear" w:color="auto" w:fill="auto"/>
          </w:tcPr>
          <w:p w14:paraId="6102937C" w14:textId="11D00B82" w:rsidR="00B3437D" w:rsidRDefault="00B3437D" w:rsidP="00EA6A31">
            <w:r>
              <w:t xml:space="preserve">Private sector </w:t>
            </w:r>
            <w:r w:rsidR="00EA6A31">
              <w:t>ontwikkeling</w:t>
            </w:r>
          </w:p>
        </w:tc>
        <w:tc>
          <w:tcPr>
            <w:tcW w:w="1537" w:type="dxa"/>
            <w:tcBorders>
              <w:bottom w:val="single" w:sz="12" w:space="0" w:color="auto"/>
            </w:tcBorders>
            <w:shd w:val="clear" w:color="auto" w:fill="auto"/>
          </w:tcPr>
          <w:p w14:paraId="3AE0E985" w14:textId="77777777" w:rsidR="00B3437D" w:rsidRDefault="00B3437D" w:rsidP="006150B7">
            <w:pPr>
              <w:jc w:val="center"/>
            </w:pPr>
            <w:r>
              <w:t>4</w:t>
            </w:r>
          </w:p>
        </w:tc>
        <w:tc>
          <w:tcPr>
            <w:tcW w:w="1582" w:type="dxa"/>
            <w:tcBorders>
              <w:bottom w:val="single" w:sz="12" w:space="0" w:color="auto"/>
            </w:tcBorders>
            <w:shd w:val="clear" w:color="auto" w:fill="auto"/>
          </w:tcPr>
          <w:p w14:paraId="616B5540" w14:textId="77777777" w:rsidR="00B3437D" w:rsidRDefault="00B3437D" w:rsidP="00CE48A8"/>
        </w:tc>
        <w:tc>
          <w:tcPr>
            <w:tcW w:w="1332" w:type="dxa"/>
            <w:tcBorders>
              <w:right w:val="single" w:sz="12" w:space="0" w:color="auto"/>
            </w:tcBorders>
            <w:shd w:val="clear" w:color="auto" w:fill="auto"/>
          </w:tcPr>
          <w:p w14:paraId="6DB27275" w14:textId="77777777" w:rsidR="00B3437D" w:rsidRDefault="00B3437D" w:rsidP="00CE48A8"/>
        </w:tc>
      </w:tr>
      <w:tr w:rsidR="00493FB1" w14:paraId="76C27A90" w14:textId="77777777" w:rsidTr="00080877">
        <w:tc>
          <w:tcPr>
            <w:tcW w:w="7697" w:type="dxa"/>
            <w:gridSpan w:val="4"/>
            <w:tcBorders>
              <w:top w:val="single" w:sz="12" w:space="0" w:color="auto"/>
              <w:left w:val="single" w:sz="12" w:space="0" w:color="auto"/>
              <w:right w:val="single" w:sz="12" w:space="0" w:color="auto"/>
            </w:tcBorders>
            <w:shd w:val="clear" w:color="auto" w:fill="BFBFBF" w:themeFill="background1" w:themeFillShade="BF"/>
          </w:tcPr>
          <w:p w14:paraId="54C3CDFE" w14:textId="043116E3" w:rsidR="00493FB1" w:rsidRPr="00493FB1" w:rsidRDefault="00493FB1" w:rsidP="00493FB1">
            <w:pPr>
              <w:rPr>
                <w:b/>
              </w:rPr>
            </w:pPr>
            <w:r>
              <w:rPr>
                <w:b/>
              </w:rPr>
              <w:t>Overige Relevantie</w:t>
            </w:r>
          </w:p>
        </w:tc>
      </w:tr>
      <w:tr w:rsidR="00B3437D" w14:paraId="4C08CCC5" w14:textId="77777777" w:rsidTr="007B1E03">
        <w:tc>
          <w:tcPr>
            <w:tcW w:w="3246" w:type="dxa"/>
            <w:tcBorders>
              <w:top w:val="single" w:sz="12" w:space="0" w:color="auto"/>
              <w:left w:val="single" w:sz="12" w:space="0" w:color="auto"/>
              <w:bottom w:val="single" w:sz="12" w:space="0" w:color="auto"/>
            </w:tcBorders>
            <w:shd w:val="clear" w:color="auto" w:fill="auto"/>
          </w:tcPr>
          <w:p w14:paraId="5D4A0E20" w14:textId="4C973632" w:rsidR="00B3437D" w:rsidRDefault="00CF71E1" w:rsidP="00CE48A8">
            <w:r>
              <w:t>Regionale samenwerking en e</w:t>
            </w:r>
            <w:r w:rsidR="00B3437D">
              <w:t>conomische integratie</w:t>
            </w:r>
          </w:p>
        </w:tc>
        <w:tc>
          <w:tcPr>
            <w:tcW w:w="1537" w:type="dxa"/>
            <w:tcBorders>
              <w:top w:val="single" w:sz="12" w:space="0" w:color="auto"/>
              <w:bottom w:val="single" w:sz="12" w:space="0" w:color="auto"/>
            </w:tcBorders>
            <w:shd w:val="clear" w:color="auto" w:fill="auto"/>
          </w:tcPr>
          <w:p w14:paraId="7D0CC2A8" w14:textId="77777777" w:rsidR="00B3437D" w:rsidRDefault="00B3437D" w:rsidP="006150B7">
            <w:pPr>
              <w:jc w:val="center"/>
            </w:pPr>
            <w:r>
              <w:t>4</w:t>
            </w:r>
          </w:p>
        </w:tc>
        <w:tc>
          <w:tcPr>
            <w:tcW w:w="1582" w:type="dxa"/>
            <w:tcBorders>
              <w:top w:val="single" w:sz="12" w:space="0" w:color="auto"/>
              <w:bottom w:val="single" w:sz="12" w:space="0" w:color="auto"/>
            </w:tcBorders>
            <w:shd w:val="clear" w:color="auto" w:fill="auto"/>
          </w:tcPr>
          <w:p w14:paraId="6D94A07D" w14:textId="77777777" w:rsidR="00B3437D" w:rsidRDefault="00B3437D" w:rsidP="006150B7">
            <w:pPr>
              <w:jc w:val="center"/>
            </w:pPr>
          </w:p>
        </w:tc>
        <w:tc>
          <w:tcPr>
            <w:tcW w:w="1332" w:type="dxa"/>
            <w:tcBorders>
              <w:top w:val="single" w:sz="12" w:space="0" w:color="auto"/>
              <w:bottom w:val="single" w:sz="12" w:space="0" w:color="auto"/>
              <w:right w:val="single" w:sz="12" w:space="0" w:color="auto"/>
            </w:tcBorders>
            <w:shd w:val="clear" w:color="auto" w:fill="auto"/>
          </w:tcPr>
          <w:p w14:paraId="79DDC62E" w14:textId="77777777" w:rsidR="00B3437D" w:rsidRDefault="00B3437D" w:rsidP="006150B7">
            <w:pPr>
              <w:jc w:val="center"/>
            </w:pPr>
            <w:r>
              <w:t>3</w:t>
            </w:r>
          </w:p>
        </w:tc>
      </w:tr>
    </w:tbl>
    <w:p w14:paraId="65059961" w14:textId="77777777" w:rsidR="00831D63" w:rsidRDefault="00831D63" w:rsidP="00831D63">
      <w:pPr>
        <w:ind w:left="227"/>
      </w:pPr>
    </w:p>
    <w:p w14:paraId="5F9A5BB7" w14:textId="1F824E61" w:rsidR="00831D63" w:rsidRPr="00DF4CDB" w:rsidRDefault="00831D63" w:rsidP="00831D63">
      <w:pPr>
        <w:ind w:left="227"/>
      </w:pPr>
      <w:r>
        <w:t>Beoordeling: Onvoldoende = 1, Matig = 2, Voldoende = 3, Goed = 4</w:t>
      </w:r>
    </w:p>
    <w:p w14:paraId="12E288EC" w14:textId="141B8CC4" w:rsidR="00B95FC2" w:rsidRPr="00734374" w:rsidRDefault="00B3437D" w:rsidP="00193F8A">
      <w:pPr>
        <w:pStyle w:val="Heading1"/>
        <w:tabs>
          <w:tab w:val="num" w:pos="0"/>
        </w:tabs>
        <w:spacing w:after="240" w:line="240" w:lineRule="atLeast"/>
        <w:ind w:hanging="1162"/>
      </w:pPr>
      <w:bookmarkStart w:id="26" w:name="_Toc491437678"/>
      <w:r>
        <w:lastRenderedPageBreak/>
        <w:t>2</w:t>
      </w:r>
      <w:r w:rsidR="00734374" w:rsidRPr="00734374">
        <w:t xml:space="preserve"> </w:t>
      </w:r>
      <w:r w:rsidR="00734374">
        <w:tab/>
      </w:r>
      <w:r w:rsidR="00AD0CCB" w:rsidRPr="00734374">
        <w:t>Inleiding</w:t>
      </w:r>
      <w:bookmarkEnd w:id="17"/>
      <w:bookmarkEnd w:id="18"/>
      <w:bookmarkEnd w:id="26"/>
    </w:p>
    <w:p w14:paraId="12E288EE" w14:textId="092CED9D" w:rsidR="005D3322" w:rsidRDefault="005150FC" w:rsidP="00193F8A">
      <w:pPr>
        <w:shd w:val="clear" w:color="auto" w:fill="FFFFFF"/>
        <w:spacing w:before="100" w:beforeAutospacing="1" w:after="100" w:afterAutospacing="1"/>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w:t>
      </w:r>
      <w:r w:rsidR="001F0FF5">
        <w:rPr>
          <w:szCs w:val="18"/>
          <w:lang w:eastAsia="zh-CN"/>
        </w:rPr>
        <w:t xml:space="preserve"> (IFI’s)</w:t>
      </w:r>
      <w:r w:rsidR="003B4CB4">
        <w:rPr>
          <w:szCs w:val="18"/>
          <w:lang w:eastAsia="zh-CN"/>
        </w:rPr>
        <w:t xml:space="preserve">, </w:t>
      </w:r>
      <w:r w:rsidR="00223E42">
        <w:rPr>
          <w:szCs w:val="18"/>
          <w:lang w:eastAsia="zh-CN"/>
        </w:rPr>
        <w:t xml:space="preserve">de voor Nederlands </w:t>
      </w:r>
      <w:r w:rsidR="001F0FF5">
        <w:rPr>
          <w:szCs w:val="18"/>
          <w:lang w:eastAsia="zh-CN"/>
        </w:rPr>
        <w:t>beleid voor Buitenlandse Handel en Ontwikkelingssamenwerking (</w:t>
      </w:r>
      <w:r w:rsidR="00223E42">
        <w:rPr>
          <w:szCs w:val="18"/>
          <w:lang w:eastAsia="zh-CN"/>
        </w:rPr>
        <w:t>BHOS</w:t>
      </w:r>
      <w:r w:rsidR="001F0FF5">
        <w:rPr>
          <w:szCs w:val="18"/>
          <w:lang w:eastAsia="zh-CN"/>
        </w:rPr>
        <w:t xml:space="preserve">) </w:t>
      </w:r>
      <w:r w:rsidR="00223E42">
        <w:rPr>
          <w:szCs w:val="18"/>
          <w:lang w:eastAsia="zh-CN"/>
        </w:rPr>
        <w:t>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beleid voor </w:t>
      </w:r>
      <w:r w:rsidR="001F0FF5">
        <w:rPr>
          <w:szCs w:val="18"/>
          <w:lang w:eastAsia="zh-CN"/>
        </w:rPr>
        <w:t>BHOS</w:t>
      </w:r>
      <w:r w:rsidR="00CF0A55">
        <w:rPr>
          <w:szCs w:val="18"/>
          <w:lang w:eastAsia="zh-CN"/>
        </w:rPr>
        <w:t>,</w:t>
      </w:r>
      <w:r w:rsidR="001F0FF5">
        <w:rPr>
          <w:szCs w:val="18"/>
          <w:lang w:eastAsia="zh-CN"/>
        </w:rPr>
        <w:t xml:space="preserve"> en</w:t>
      </w:r>
      <w:r w:rsidR="005D3322">
        <w:rPr>
          <w:szCs w:val="18"/>
          <w:lang w:eastAsia="zh-CN"/>
        </w:rPr>
        <w:t xml:space="preserve"> 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12E288EF" w14:textId="77777777" w:rsidR="005150FC" w:rsidRPr="00307981" w:rsidRDefault="005150FC" w:rsidP="00193F8A">
      <w:pPr>
        <w:shd w:val="clear" w:color="auto" w:fill="FFFFFF"/>
        <w:spacing w:before="100" w:beforeAutospacing="1" w:after="100" w:afterAutospacing="1"/>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vierpuntsschaal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12E288F0" w14:textId="77777777" w:rsidR="005150FC" w:rsidRPr="00307981" w:rsidRDefault="005150FC" w:rsidP="00193F8A">
      <w:pPr>
        <w:shd w:val="clear" w:color="auto" w:fill="FFFFFF"/>
        <w:spacing w:before="100" w:beforeAutospacing="1" w:after="100" w:afterAutospacing="1"/>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r w:rsidRPr="00AF36B0">
        <w:rPr>
          <w:i/>
          <w:szCs w:val="18"/>
          <w:lang w:eastAsia="zh-CN"/>
        </w:rPr>
        <w:t>Multilateral Organisations Performance Assessment Network</w:t>
      </w:r>
      <w:r w:rsidRPr="00307981">
        <w:rPr>
          <w:szCs w:val="18"/>
          <w:lang w:eastAsia="zh-CN"/>
        </w:rPr>
        <w:t xml:space="preserve"> (MOPAN)</w:t>
      </w:r>
      <w:r w:rsidR="00456C9B">
        <w:rPr>
          <w:szCs w:val="18"/>
          <w:lang w:eastAsia="zh-CN"/>
        </w:rPr>
        <w:t>.</w:t>
      </w:r>
      <w:r>
        <w:rPr>
          <w:rStyle w:val="FootnoteReference"/>
          <w:szCs w:val="18"/>
          <w:lang w:eastAsia="zh-CN"/>
        </w:rPr>
        <w:footnoteReference w:id="1"/>
      </w:r>
      <w:r>
        <w:rPr>
          <w:szCs w:val="18"/>
          <w:lang w:eastAsia="zh-CN"/>
        </w:rPr>
        <w:t xml:space="preserve"> </w:t>
      </w:r>
      <w:r w:rsidRPr="00307981">
        <w:rPr>
          <w:szCs w:val="18"/>
          <w:lang w:eastAsia="zh-CN"/>
        </w:rPr>
        <w:t>Daarnaast wordt om de input gevraagd van betrokken vakdepartementen, de Permanente Vertegenwoordigingen</w:t>
      </w:r>
      <w:r>
        <w:rPr>
          <w:szCs w:val="18"/>
          <w:lang w:eastAsia="zh-CN"/>
        </w:rPr>
        <w:t xml:space="preserve"> en</w:t>
      </w:r>
      <w:r w:rsidRPr="00307981">
        <w:rPr>
          <w:szCs w:val="18"/>
          <w:lang w:eastAsia="zh-CN"/>
        </w:rPr>
        <w:t xml:space="preserve"> Kiesgroepkantoren. Ook </w:t>
      </w:r>
      <w:r w:rsidR="004E60C0">
        <w:rPr>
          <w:szCs w:val="18"/>
          <w:lang w:eastAsia="zh-CN"/>
        </w:rPr>
        <w:t xml:space="preserve">informatie </w:t>
      </w:r>
      <w:r>
        <w:rPr>
          <w:szCs w:val="18"/>
          <w:lang w:eastAsia="zh-CN"/>
        </w:rPr>
        <w:t xml:space="preserve">van ambassades </w:t>
      </w:r>
      <w:r w:rsidRPr="00307981">
        <w:rPr>
          <w:szCs w:val="18"/>
          <w:lang w:eastAsia="zh-CN"/>
        </w:rPr>
        <w:t xml:space="preserve">over het functioneren van landenkantoren </w:t>
      </w:r>
      <w:r>
        <w:rPr>
          <w:szCs w:val="18"/>
          <w:lang w:eastAsia="zh-CN"/>
        </w:rPr>
        <w:t>van multilaterale instellingen zijn</w:t>
      </w:r>
      <w:r w:rsidRPr="00307981">
        <w:rPr>
          <w:szCs w:val="18"/>
          <w:lang w:eastAsia="zh-CN"/>
        </w:rPr>
        <w:t xml:space="preserve"> in de scorecard </w:t>
      </w:r>
      <w:r w:rsidR="00710978">
        <w:rPr>
          <w:szCs w:val="18"/>
          <w:lang w:eastAsia="zh-CN"/>
        </w:rPr>
        <w:t>verwerkt</w:t>
      </w:r>
      <w:r>
        <w:rPr>
          <w:szCs w:val="18"/>
          <w:lang w:eastAsia="zh-CN"/>
        </w:rPr>
        <w:t>.</w:t>
      </w:r>
      <w:r w:rsidRPr="00307981">
        <w:rPr>
          <w:szCs w:val="18"/>
          <w:lang w:eastAsia="zh-CN"/>
        </w:rPr>
        <w:t xml:space="preserve"> </w:t>
      </w:r>
      <w:r w:rsidR="00AC567F">
        <w:rPr>
          <w:szCs w:val="18"/>
          <w:lang w:eastAsia="zh-CN"/>
        </w:rPr>
        <w:t>De s</w:t>
      </w:r>
      <w:r w:rsidRPr="00307981">
        <w:rPr>
          <w:szCs w:val="18"/>
          <w:lang w:eastAsia="zh-CN"/>
        </w:rPr>
        <w:t xml:space="preserve">corecards </w:t>
      </w:r>
      <w:r>
        <w:rPr>
          <w:szCs w:val="18"/>
          <w:lang w:eastAsia="zh-CN"/>
        </w:rPr>
        <w:t xml:space="preserve">worden </w:t>
      </w:r>
      <w:r w:rsidR="002633CA">
        <w:rPr>
          <w:szCs w:val="18"/>
          <w:lang w:eastAsia="zh-CN"/>
        </w:rPr>
        <w:t xml:space="preserve">iedere twee jaar </w:t>
      </w:r>
      <w:r w:rsidRPr="00307981">
        <w:rPr>
          <w:szCs w:val="18"/>
          <w:lang w:eastAsia="zh-CN"/>
        </w:rPr>
        <w:t>geactualiseerd</w:t>
      </w:r>
      <w:r w:rsidR="002C77AF">
        <w:rPr>
          <w:szCs w:val="18"/>
          <w:lang w:eastAsia="zh-CN"/>
        </w:rPr>
        <w:t>.</w:t>
      </w:r>
      <w:r w:rsidRPr="00307981">
        <w:rPr>
          <w:szCs w:val="18"/>
          <w:lang w:eastAsia="zh-CN"/>
        </w:rPr>
        <w:t xml:space="preserve"> </w:t>
      </w:r>
    </w:p>
    <w:p w14:paraId="12E288F1" w14:textId="77777777" w:rsidR="00307981" w:rsidRPr="00307981" w:rsidRDefault="00307981" w:rsidP="00193F8A"/>
    <w:p w14:paraId="12E288F2" w14:textId="2D1C1A76" w:rsidR="00D745A7" w:rsidRDefault="00180E29" w:rsidP="00B3437D">
      <w:pPr>
        <w:pStyle w:val="Heading1"/>
        <w:numPr>
          <w:ilvl w:val="0"/>
          <w:numId w:val="43"/>
        </w:numPr>
        <w:spacing w:after="240" w:line="240" w:lineRule="atLeast"/>
      </w:pPr>
      <w:bookmarkStart w:id="27" w:name="_Toc473812717"/>
      <w:r>
        <w:lastRenderedPageBreak/>
        <w:t xml:space="preserve">  </w:t>
      </w:r>
      <w:r w:rsidR="0083752E">
        <w:tab/>
      </w:r>
      <w:r>
        <w:t xml:space="preserve">     </w:t>
      </w:r>
      <w:bookmarkStart w:id="28" w:name="_Toc491437679"/>
      <w:r w:rsidR="00D745A7">
        <w:t>Algemene achtergrond</w:t>
      </w:r>
      <w:bookmarkEnd w:id="27"/>
      <w:bookmarkEnd w:id="28"/>
    </w:p>
    <w:p w14:paraId="12E288F3" w14:textId="38626115" w:rsidR="006C1EB0" w:rsidRDefault="00B3437D" w:rsidP="00B3437D">
      <w:pPr>
        <w:pStyle w:val="Heading2"/>
        <w:tabs>
          <w:tab w:val="left" w:pos="-1162"/>
          <w:tab w:val="left" w:pos="0"/>
        </w:tabs>
        <w:spacing w:line="240" w:lineRule="atLeast"/>
        <w:ind w:left="-1162"/>
      </w:pPr>
      <w:bookmarkStart w:id="29" w:name="_Toc473812718"/>
      <w:bookmarkStart w:id="30" w:name="_Toc491437680"/>
      <w:r>
        <w:t>3.1</w:t>
      </w:r>
      <w:r w:rsidR="009D1723">
        <w:t xml:space="preserve">             </w:t>
      </w:r>
      <w:r w:rsidR="0055776D">
        <w:t>Doelstelling</w:t>
      </w:r>
      <w:r w:rsidR="00FC6EC6">
        <w:t xml:space="preserve"> en toegevoegde waarde</w:t>
      </w:r>
      <w:bookmarkEnd w:id="29"/>
      <w:bookmarkEnd w:id="30"/>
    </w:p>
    <w:p w14:paraId="12E288F4" w14:textId="22A1C966" w:rsidR="00B255E4" w:rsidRPr="007C5824" w:rsidRDefault="00B255E4" w:rsidP="007C5824">
      <w:r w:rsidRPr="00B255E4">
        <w:t xml:space="preserve">De </w:t>
      </w:r>
      <w:r w:rsidRPr="00B255E4">
        <w:rPr>
          <w:i/>
        </w:rPr>
        <w:t xml:space="preserve">Inter-American Development </w:t>
      </w:r>
      <w:r w:rsidR="009D1723">
        <w:rPr>
          <w:i/>
        </w:rPr>
        <w:t>Bank</w:t>
      </w:r>
      <w:r w:rsidRPr="00B255E4">
        <w:rPr>
          <w:i/>
        </w:rPr>
        <w:t xml:space="preserve"> </w:t>
      </w:r>
      <w:r w:rsidRPr="00B255E4">
        <w:t>(IDB)</w:t>
      </w:r>
      <w:r w:rsidR="00943B97">
        <w:t xml:space="preserve"> </w:t>
      </w:r>
      <w:r w:rsidRPr="00B255E4">
        <w:t xml:space="preserve">is de </w:t>
      </w:r>
      <w:r>
        <w:t xml:space="preserve">grootste </w:t>
      </w:r>
      <w:r w:rsidRPr="00B255E4">
        <w:t>ontwikkelings</w:t>
      </w:r>
      <w:r w:rsidR="009D1723">
        <w:t>bank</w:t>
      </w:r>
      <w:r w:rsidRPr="00B255E4">
        <w:t xml:space="preserve"> voor </w:t>
      </w:r>
      <w:r w:rsidR="001E1D60" w:rsidRPr="00B255E4">
        <w:t>L</w:t>
      </w:r>
      <w:r w:rsidR="001E1D60">
        <w:t>atijns-Amerika</w:t>
      </w:r>
      <w:r>
        <w:t xml:space="preserve"> en </w:t>
      </w:r>
      <w:r w:rsidR="001E1D60">
        <w:t>het</w:t>
      </w:r>
      <w:r>
        <w:t xml:space="preserve"> Caribisch gebied (LAC).</w:t>
      </w:r>
      <w:r w:rsidRPr="00943B97">
        <w:rPr>
          <w:i/>
        </w:rPr>
        <w:t xml:space="preserve"> </w:t>
      </w:r>
      <w:r w:rsidR="007C5824">
        <w:t xml:space="preserve">In lijn met haar mandaat - een bijdrage leveren </w:t>
      </w:r>
      <w:r w:rsidR="007C5824" w:rsidRPr="00943B97">
        <w:t xml:space="preserve">aan de versnelling van de </w:t>
      </w:r>
      <w:r w:rsidR="007C5824">
        <w:t xml:space="preserve">economische en sociale ontwikkeling van de regionale lidstaten - heeft de </w:t>
      </w:r>
      <w:r w:rsidR="009D1723">
        <w:t>Bank</w:t>
      </w:r>
      <w:r w:rsidR="007C5824">
        <w:t xml:space="preserve"> zich in 2010 toegelegd op de volgende specifieke doelen: een vermindering van armoede en ongelijkheid op basis van duurzame economische groei en de ontwikkeling van de private sector, gekoppeld aan bijzondere aandacht voor kleine en kwetsbare landen.</w:t>
      </w:r>
    </w:p>
    <w:p w14:paraId="12E288F5" w14:textId="77777777" w:rsidR="00943B97" w:rsidRPr="00943B97" w:rsidRDefault="00943B97" w:rsidP="00193F8A">
      <w:pPr>
        <w:rPr>
          <w:i/>
        </w:rPr>
      </w:pPr>
    </w:p>
    <w:p w14:paraId="12E288F6" w14:textId="1962DBB5" w:rsidR="00160C4A" w:rsidRDefault="009D1723" w:rsidP="00193F8A">
      <w:r>
        <w:t>De Bank</w:t>
      </w:r>
      <w:r w:rsidR="00F464B4" w:rsidRPr="00F464B4">
        <w:t xml:space="preserve"> </w:t>
      </w:r>
      <w:r w:rsidR="00943B97">
        <w:t>ondersteunt de regio bij</w:t>
      </w:r>
      <w:r w:rsidR="00F464B4" w:rsidRPr="00F464B4">
        <w:t xml:space="preserve"> de volgende uitdagingen: 1) ongelijkheid en sociale uitsluiting, 2) </w:t>
      </w:r>
      <w:r w:rsidR="00F464B4">
        <w:t>lage productiviteit en innovatie en 3) beperkte economische integratie.</w:t>
      </w:r>
      <w:r w:rsidR="00160C4A">
        <w:t xml:space="preserve"> </w:t>
      </w:r>
      <w:r w:rsidR="00643AAF">
        <w:t xml:space="preserve">Daarnaast richt de </w:t>
      </w:r>
      <w:r>
        <w:t>Bank</w:t>
      </w:r>
      <w:r w:rsidR="00643AAF">
        <w:t xml:space="preserve"> zich op enkele dwarsdoorsnijdende thema’s: 1) gendergelijkheid en diversiteit, 2) milieuduurzaamheid en klimaatverandering, en 3) institutionele capaciteit en de </w:t>
      </w:r>
      <w:r w:rsidR="00643AAF">
        <w:rPr>
          <w:i/>
        </w:rPr>
        <w:t xml:space="preserve">rule of law. </w:t>
      </w:r>
      <w:r w:rsidR="002A6E00">
        <w:t xml:space="preserve">De </w:t>
      </w:r>
      <w:r>
        <w:t>Bank</w:t>
      </w:r>
      <w:r w:rsidR="002A6E00">
        <w:t xml:space="preserve"> </w:t>
      </w:r>
      <w:r w:rsidR="00096E6B">
        <w:t xml:space="preserve">is een uitvoerende organisatie en </w:t>
      </w:r>
      <w:r w:rsidR="002A6E00">
        <w:t xml:space="preserve">draagt bij aan </w:t>
      </w:r>
      <w:r w:rsidR="00D01A98">
        <w:t>de ontwikkeling van de LAC-regio</w:t>
      </w:r>
      <w:r w:rsidR="002A6E00">
        <w:t xml:space="preserve"> door de </w:t>
      </w:r>
      <w:r w:rsidR="00160C4A">
        <w:t>promot</w:t>
      </w:r>
      <w:r w:rsidR="002A6E00">
        <w:t xml:space="preserve">ie en financiering </w:t>
      </w:r>
      <w:r w:rsidR="000E2E14">
        <w:t xml:space="preserve">van </w:t>
      </w:r>
      <w:r w:rsidR="002A6E00">
        <w:t xml:space="preserve">ontwikkelingsprojecten, </w:t>
      </w:r>
      <w:r w:rsidR="000E2E14">
        <w:t xml:space="preserve">door </w:t>
      </w:r>
      <w:r w:rsidR="002A6E00">
        <w:t>de ondersteuning van effectief nationaal ontwikkelingsbeleid en door</w:t>
      </w:r>
      <w:r w:rsidR="00160C4A">
        <w:t xml:space="preserve"> </w:t>
      </w:r>
      <w:r w:rsidR="002A6E00">
        <w:t>het</w:t>
      </w:r>
      <w:r w:rsidR="00160C4A">
        <w:t xml:space="preserve"> aanbieden van technische assistentie projecten. </w:t>
      </w:r>
    </w:p>
    <w:p w14:paraId="12E288F7" w14:textId="77777777" w:rsidR="00885FBB" w:rsidRDefault="00885FBB" w:rsidP="00193F8A">
      <w:pPr>
        <w:rPr>
          <w:color w:val="A6A6A6"/>
        </w:rPr>
      </w:pPr>
    </w:p>
    <w:p w14:paraId="12E288F8" w14:textId="6FA837DD" w:rsidR="00160C4A" w:rsidRDefault="008261EC" w:rsidP="00193F8A">
      <w:r>
        <w:t>De IDB is een bela</w:t>
      </w:r>
      <w:r w:rsidR="00106C8F">
        <w:t>n</w:t>
      </w:r>
      <w:r>
        <w:t>gr</w:t>
      </w:r>
      <w:r w:rsidR="00106C8F">
        <w:t>i</w:t>
      </w:r>
      <w:r>
        <w:t>jke partner voor de regio</w:t>
      </w:r>
      <w:r w:rsidR="002A6E00">
        <w:t>: ze bied</w:t>
      </w:r>
      <w:r w:rsidR="002D5A54">
        <w:t>t</w:t>
      </w:r>
      <w:r w:rsidR="002A6E00">
        <w:t xml:space="preserve"> </w:t>
      </w:r>
      <w:r>
        <w:t xml:space="preserve">financiering </w:t>
      </w:r>
      <w:r w:rsidR="002A6E00">
        <w:t>tegen</w:t>
      </w:r>
      <w:r>
        <w:t xml:space="preserve"> gunstige voorwaarden</w:t>
      </w:r>
      <w:r w:rsidR="002A6E00">
        <w:t xml:space="preserve">. </w:t>
      </w:r>
      <w:r w:rsidR="002A1CBE">
        <w:t xml:space="preserve">Door de </w:t>
      </w:r>
      <w:r w:rsidR="00096E6B">
        <w:t>toegang</w:t>
      </w:r>
      <w:r w:rsidR="002D5A54">
        <w:t xml:space="preserve"> die</w:t>
      </w:r>
      <w:r w:rsidR="002A1CBE">
        <w:t xml:space="preserve"> de </w:t>
      </w:r>
      <w:r w:rsidR="009D1723">
        <w:t>Bank</w:t>
      </w:r>
      <w:r w:rsidR="002D5A54">
        <w:t xml:space="preserve"> heeft</w:t>
      </w:r>
      <w:r w:rsidR="002A1CBE">
        <w:t xml:space="preserve"> </w:t>
      </w:r>
      <w:r w:rsidR="002D5A54">
        <w:t>tot</w:t>
      </w:r>
      <w:r w:rsidR="002A1CBE">
        <w:t xml:space="preserve"> de kapitaalmarkt </w:t>
      </w:r>
      <w:r w:rsidR="002D5A54">
        <w:t>op basis van haar AAA-status</w:t>
      </w:r>
      <w:r w:rsidR="00096E6B">
        <w:t>,</w:t>
      </w:r>
      <w:r w:rsidR="002D5A54">
        <w:t xml:space="preserve"> </w:t>
      </w:r>
      <w:r w:rsidR="002A1CBE">
        <w:t>is ze in staat de kapitaalinleg van landen te katalyseren en zodoende een hefboomwerking</w:t>
      </w:r>
      <w:r w:rsidR="002D5A54">
        <w:t xml:space="preserve"> met gunstige voorwaarden</w:t>
      </w:r>
      <w:r w:rsidR="002A1CBE">
        <w:t xml:space="preserve"> te creëren. Naast haar financiële rol,</w:t>
      </w:r>
      <w:r w:rsidR="002A6E00">
        <w:t xml:space="preserve"> opereert de </w:t>
      </w:r>
      <w:r w:rsidR="009D1723">
        <w:t>Bank</w:t>
      </w:r>
      <w:r w:rsidR="00C4005B">
        <w:t xml:space="preserve"> in</w:t>
      </w:r>
      <w:r w:rsidR="00943B97">
        <w:t xml:space="preserve"> groeiende mate als </w:t>
      </w:r>
      <w:r>
        <w:t>‘</w:t>
      </w:r>
      <w:r w:rsidR="00943B97">
        <w:t>kennis</w:t>
      </w:r>
      <w:r w:rsidR="009D1723">
        <w:t>bank</w:t>
      </w:r>
      <w:r w:rsidR="00943B97">
        <w:t>’ met een</w:t>
      </w:r>
      <w:r>
        <w:t xml:space="preserve"> </w:t>
      </w:r>
      <w:r w:rsidR="00D01A98">
        <w:t>beleid</w:t>
      </w:r>
      <w:r w:rsidR="002A1CBE">
        <w:t>s</w:t>
      </w:r>
      <w:r w:rsidR="00D01A98">
        <w:t>adviserende</w:t>
      </w:r>
      <w:r>
        <w:t xml:space="preserve"> </w:t>
      </w:r>
      <w:r w:rsidR="00096E6B">
        <w:t>taak</w:t>
      </w:r>
      <w:r>
        <w:t xml:space="preserve">. </w:t>
      </w:r>
      <w:r w:rsidR="00160C4A">
        <w:t xml:space="preserve">De </w:t>
      </w:r>
      <w:r w:rsidR="002A1CBE">
        <w:t xml:space="preserve">specifieke </w:t>
      </w:r>
      <w:r w:rsidR="00160C4A">
        <w:t xml:space="preserve">meerwaarde van de IDB is de hoge mate van </w:t>
      </w:r>
      <w:r w:rsidR="002D5A54">
        <w:t xml:space="preserve">regionaal </w:t>
      </w:r>
      <w:r w:rsidR="00160C4A">
        <w:t xml:space="preserve">eigenaarschap: de lidstaten uit de </w:t>
      </w:r>
      <w:r w:rsidR="002A6E00">
        <w:t>LAC-regio</w:t>
      </w:r>
      <w:r w:rsidR="00160C4A">
        <w:t xml:space="preserve"> beschikken over meer dan 50% van de zeggenschap in de </w:t>
      </w:r>
      <w:r w:rsidR="009D1723">
        <w:t>Bank</w:t>
      </w:r>
      <w:r w:rsidR="00160C4A">
        <w:t>.</w:t>
      </w:r>
    </w:p>
    <w:p w14:paraId="12E288F9" w14:textId="77777777" w:rsidR="008261EC" w:rsidRDefault="008261EC" w:rsidP="00193F8A"/>
    <w:p w14:paraId="12E288FB" w14:textId="1EB64B88" w:rsidR="00C11B98" w:rsidRDefault="00E562C3" w:rsidP="00193F8A">
      <w:r>
        <w:t>De multilaterale ontwikkelings</w:t>
      </w:r>
      <w:r w:rsidR="009D1723">
        <w:t>bank</w:t>
      </w:r>
      <w:r>
        <w:t>en</w:t>
      </w:r>
      <w:r w:rsidR="00943B97">
        <w:t>, en zo ook de IDB,</w:t>
      </w:r>
      <w:r w:rsidR="0089236F">
        <w:t xml:space="preserve"> ondersteunen landen in het omzetten van de </w:t>
      </w:r>
      <w:r w:rsidR="00ED3D6E">
        <w:t>Duurzame Ontwikkelingsdoelen</w:t>
      </w:r>
      <w:r w:rsidR="0089236F">
        <w:rPr>
          <w:i/>
        </w:rPr>
        <w:t xml:space="preserve"> </w:t>
      </w:r>
      <w:r w:rsidR="006F33F9" w:rsidRPr="00ED3D6E">
        <w:t>(SDG’s)</w:t>
      </w:r>
      <w:r w:rsidR="000D55A1">
        <w:rPr>
          <w:i/>
        </w:rPr>
        <w:t xml:space="preserve"> </w:t>
      </w:r>
      <w:r w:rsidR="0089236F">
        <w:t>naar nationa</w:t>
      </w:r>
      <w:r w:rsidR="002D5A54">
        <w:t>a</w:t>
      </w:r>
      <w:r w:rsidR="0089236F">
        <w:t xml:space="preserve">l </w:t>
      </w:r>
      <w:r w:rsidR="001075D0">
        <w:t>beleid</w:t>
      </w:r>
      <w:r w:rsidR="000E2E14">
        <w:t xml:space="preserve">, </w:t>
      </w:r>
      <w:r w:rsidR="00C4005B">
        <w:t xml:space="preserve">nationale </w:t>
      </w:r>
      <w:r w:rsidR="000E2E14">
        <w:t>doelen</w:t>
      </w:r>
      <w:r w:rsidR="001075D0">
        <w:t xml:space="preserve"> en programma’s. </w:t>
      </w:r>
      <w:r w:rsidR="000E2E14">
        <w:t>De hoofdprioriteiten van de IDB liggen in lijn met d</w:t>
      </w:r>
      <w:r w:rsidR="001075D0">
        <w:t>e doelstellingen van de SDG</w:t>
      </w:r>
      <w:r w:rsidR="00016EE7">
        <w:t>’</w:t>
      </w:r>
      <w:r w:rsidR="001075D0">
        <w:t>s.</w:t>
      </w:r>
      <w:r w:rsidR="00F66CCD">
        <w:t xml:space="preserve"> Door </w:t>
      </w:r>
      <w:r w:rsidR="000E2E14">
        <w:t>de</w:t>
      </w:r>
      <w:r w:rsidR="00F66CCD">
        <w:t xml:space="preserve"> gediversifieerde port</w:t>
      </w:r>
      <w:r w:rsidR="005E0FBA">
        <w:t>o</w:t>
      </w:r>
      <w:r w:rsidR="00F66CCD">
        <w:t>folio</w:t>
      </w:r>
      <w:r w:rsidR="00BD7A5A">
        <w:t xml:space="preserve"> en de focus op economische groei</w:t>
      </w:r>
      <w:r w:rsidR="00F66CCD">
        <w:t xml:space="preserve"> </w:t>
      </w:r>
      <w:r w:rsidR="00BD7A5A">
        <w:t>draagt de IDB bij aan: financiële instituties (8), infrastructuur en industrie (9), overheids- capaciteitsopbouw (17), duurzame energie (7), water en sanitatiesector (6), gezondheidszorg (3), actie tegen klimaatverandering (13).</w:t>
      </w:r>
      <w:r w:rsidR="000E2E14">
        <w:t xml:space="preserve"> </w:t>
      </w:r>
      <w:r w:rsidR="00F66CCD">
        <w:t xml:space="preserve"> </w:t>
      </w:r>
    </w:p>
    <w:p w14:paraId="527C6843" w14:textId="77777777" w:rsidR="006429ED" w:rsidRDefault="006429ED" w:rsidP="00193F8A"/>
    <w:p w14:paraId="12E288FC" w14:textId="4A5576FC" w:rsidR="00D745A7" w:rsidRDefault="00B3437D" w:rsidP="00B3437D">
      <w:pPr>
        <w:pStyle w:val="Heading2"/>
        <w:tabs>
          <w:tab w:val="left" w:pos="-1162"/>
          <w:tab w:val="left" w:pos="0"/>
        </w:tabs>
        <w:spacing w:line="240" w:lineRule="atLeast"/>
        <w:ind w:left="-1162"/>
      </w:pPr>
      <w:bookmarkStart w:id="31" w:name="_Toc473812719"/>
      <w:bookmarkStart w:id="32" w:name="_Toc491437681"/>
      <w:r>
        <w:t>3.2</w:t>
      </w:r>
      <w:r w:rsidR="00B411D8">
        <w:t xml:space="preserve">             </w:t>
      </w:r>
      <w:r w:rsidR="00D745A7">
        <w:t>Organisatie, werkwijze en activiteiten</w:t>
      </w:r>
      <w:bookmarkEnd w:id="31"/>
      <w:bookmarkEnd w:id="32"/>
    </w:p>
    <w:p w14:paraId="12E288FD" w14:textId="5F1964A8" w:rsidR="0033448F" w:rsidRDefault="00885FBB" w:rsidP="00193F8A">
      <w:pPr>
        <w:rPr>
          <w:szCs w:val="18"/>
        </w:rPr>
      </w:pPr>
      <w:r>
        <w:rPr>
          <w:szCs w:val="22"/>
        </w:rPr>
        <w:t xml:space="preserve">De IDB vormt samen met de </w:t>
      </w:r>
      <w:r>
        <w:rPr>
          <w:i/>
          <w:szCs w:val="22"/>
        </w:rPr>
        <w:t xml:space="preserve">Inter-American </w:t>
      </w:r>
      <w:r w:rsidR="00D01A98">
        <w:rPr>
          <w:i/>
          <w:szCs w:val="22"/>
        </w:rPr>
        <w:t>Investment</w:t>
      </w:r>
      <w:r>
        <w:rPr>
          <w:i/>
          <w:szCs w:val="22"/>
        </w:rPr>
        <w:t xml:space="preserve"> Corporation </w:t>
      </w:r>
      <w:r>
        <w:rPr>
          <w:szCs w:val="22"/>
        </w:rPr>
        <w:t xml:space="preserve">(IIC) en het </w:t>
      </w:r>
      <w:r>
        <w:rPr>
          <w:i/>
          <w:szCs w:val="22"/>
        </w:rPr>
        <w:t xml:space="preserve">Multilateral Investment Fund </w:t>
      </w:r>
      <w:r>
        <w:rPr>
          <w:szCs w:val="22"/>
        </w:rPr>
        <w:t>(MIF) de IDB Groep</w:t>
      </w:r>
      <w:r w:rsidR="00016EE7">
        <w:rPr>
          <w:szCs w:val="22"/>
        </w:rPr>
        <w:t xml:space="preserve"> (IDBG)</w:t>
      </w:r>
      <w:r>
        <w:rPr>
          <w:szCs w:val="22"/>
        </w:rPr>
        <w:t xml:space="preserve">. </w:t>
      </w:r>
      <w:r w:rsidR="001C4B94">
        <w:rPr>
          <w:szCs w:val="22"/>
        </w:rPr>
        <w:t xml:space="preserve">De gehele groep is een uitvoerende organisatie: de kern van het werk ligt bij het verschaffen van financiering en eventueel kennis voor projecten met ontwikkelingsrelevantie. </w:t>
      </w:r>
      <w:r>
        <w:rPr>
          <w:szCs w:val="22"/>
        </w:rPr>
        <w:t xml:space="preserve">De IDB </w:t>
      </w:r>
      <w:r w:rsidR="00591869">
        <w:rPr>
          <w:szCs w:val="22"/>
        </w:rPr>
        <w:t>richt zich primair op</w:t>
      </w:r>
      <w:r>
        <w:rPr>
          <w:szCs w:val="22"/>
        </w:rPr>
        <w:t xml:space="preserve"> leningen en technische assistentie </w:t>
      </w:r>
      <w:r w:rsidR="00591869">
        <w:rPr>
          <w:szCs w:val="22"/>
        </w:rPr>
        <w:t>aan</w:t>
      </w:r>
      <w:r>
        <w:rPr>
          <w:szCs w:val="22"/>
        </w:rPr>
        <w:t xml:space="preserve"> overheden. </w:t>
      </w:r>
      <w:r w:rsidR="002D5A54">
        <w:rPr>
          <w:szCs w:val="22"/>
        </w:rPr>
        <w:t>De</w:t>
      </w:r>
      <w:r>
        <w:rPr>
          <w:szCs w:val="22"/>
        </w:rPr>
        <w:t xml:space="preserve"> IIC </w:t>
      </w:r>
      <w:r w:rsidR="00096E6B">
        <w:rPr>
          <w:szCs w:val="22"/>
        </w:rPr>
        <w:t xml:space="preserve">en het MIF bevorderen </w:t>
      </w:r>
      <w:r w:rsidR="00F9406C">
        <w:rPr>
          <w:szCs w:val="22"/>
        </w:rPr>
        <w:t xml:space="preserve">private sector ontwikkeling </w:t>
      </w:r>
      <w:r w:rsidR="00463F08">
        <w:rPr>
          <w:szCs w:val="22"/>
        </w:rPr>
        <w:t xml:space="preserve">in verschillende vormen. </w:t>
      </w:r>
      <w:r w:rsidR="00643AAF">
        <w:rPr>
          <w:szCs w:val="22"/>
        </w:rPr>
        <w:t>De</w:t>
      </w:r>
      <w:r w:rsidR="00463F08">
        <w:rPr>
          <w:szCs w:val="22"/>
        </w:rPr>
        <w:t xml:space="preserve"> IIC biedt bedrijven len</w:t>
      </w:r>
      <w:r w:rsidR="00C42FC9">
        <w:rPr>
          <w:szCs w:val="22"/>
        </w:rPr>
        <w:t xml:space="preserve">ingen en </w:t>
      </w:r>
      <w:r w:rsidR="00C42FC9">
        <w:rPr>
          <w:i/>
          <w:szCs w:val="22"/>
        </w:rPr>
        <w:t xml:space="preserve">equity </w:t>
      </w:r>
      <w:r w:rsidR="00C42FC9">
        <w:rPr>
          <w:szCs w:val="22"/>
        </w:rPr>
        <w:t>investeringen</w:t>
      </w:r>
      <w:r>
        <w:rPr>
          <w:szCs w:val="22"/>
        </w:rPr>
        <w:t xml:space="preserve">. </w:t>
      </w:r>
      <w:r w:rsidR="00F9406C">
        <w:rPr>
          <w:szCs w:val="22"/>
        </w:rPr>
        <w:t>Het MIF is een fonds gericht op innovatieve</w:t>
      </w:r>
      <w:r w:rsidR="00643AAF">
        <w:rPr>
          <w:szCs w:val="22"/>
        </w:rPr>
        <w:t>, meer risicovolle</w:t>
      </w:r>
      <w:r w:rsidR="00F9406C">
        <w:rPr>
          <w:szCs w:val="22"/>
        </w:rPr>
        <w:t xml:space="preserve"> projecten en biedt leningen</w:t>
      </w:r>
      <w:r w:rsidR="0046022F">
        <w:rPr>
          <w:szCs w:val="22"/>
        </w:rPr>
        <w:t xml:space="preserve">, </w:t>
      </w:r>
      <w:r w:rsidR="0046022F">
        <w:rPr>
          <w:i/>
          <w:szCs w:val="22"/>
        </w:rPr>
        <w:t>equity investeringen</w:t>
      </w:r>
      <w:r w:rsidR="0046022F">
        <w:rPr>
          <w:szCs w:val="22"/>
        </w:rPr>
        <w:t>, technische advisering</w:t>
      </w:r>
      <w:r w:rsidR="00F9406C">
        <w:rPr>
          <w:szCs w:val="22"/>
        </w:rPr>
        <w:t xml:space="preserve"> en schenkingen aan het MKB</w:t>
      </w:r>
      <w:r w:rsidR="001F0FF5">
        <w:rPr>
          <w:szCs w:val="22"/>
        </w:rPr>
        <w:t>.</w:t>
      </w:r>
      <w:r w:rsidR="00C42FC9">
        <w:rPr>
          <w:szCs w:val="18"/>
        </w:rPr>
        <w:t xml:space="preserve"> </w:t>
      </w:r>
    </w:p>
    <w:p w14:paraId="12E288FE" w14:textId="77777777" w:rsidR="0033448F" w:rsidRDefault="0033448F" w:rsidP="00193F8A">
      <w:pPr>
        <w:rPr>
          <w:szCs w:val="18"/>
        </w:rPr>
      </w:pPr>
    </w:p>
    <w:p w14:paraId="12E288FF" w14:textId="3E5CD113" w:rsidR="00885FBB" w:rsidRDefault="00BA1B47" w:rsidP="00193F8A">
      <w:pPr>
        <w:rPr>
          <w:szCs w:val="18"/>
        </w:rPr>
      </w:pPr>
      <w:r>
        <w:rPr>
          <w:szCs w:val="22"/>
        </w:rPr>
        <w:t xml:space="preserve">De IDBG is een coöperatieve </w:t>
      </w:r>
      <w:r w:rsidR="009D1723">
        <w:rPr>
          <w:szCs w:val="22"/>
        </w:rPr>
        <w:t>Bank</w:t>
      </w:r>
      <w:r>
        <w:rPr>
          <w:szCs w:val="22"/>
        </w:rPr>
        <w:t xml:space="preserve"> waar lidstaten aandelen ontvangen voor het ingelegde kapitaal. </w:t>
      </w:r>
      <w:r w:rsidR="0033448F">
        <w:rPr>
          <w:szCs w:val="18"/>
        </w:rPr>
        <w:t>De IDB</w:t>
      </w:r>
      <w:r w:rsidR="00111A48">
        <w:rPr>
          <w:szCs w:val="18"/>
        </w:rPr>
        <w:t>G</w:t>
      </w:r>
      <w:r w:rsidR="0033448F">
        <w:rPr>
          <w:szCs w:val="18"/>
        </w:rPr>
        <w:t xml:space="preserve"> heeft 48 lidstaten, waarvan 26 lenende regionale landen. Het hoofdkantoor is gevestigd in Washington D.C. en de </w:t>
      </w:r>
      <w:r w:rsidR="009D1723">
        <w:rPr>
          <w:szCs w:val="18"/>
        </w:rPr>
        <w:t>Bank</w:t>
      </w:r>
      <w:r w:rsidR="0033448F">
        <w:rPr>
          <w:szCs w:val="18"/>
        </w:rPr>
        <w:t xml:space="preserve"> heeft</w:t>
      </w:r>
      <w:r w:rsidR="00885FBB">
        <w:rPr>
          <w:szCs w:val="18"/>
        </w:rPr>
        <w:t xml:space="preserve"> land</w:t>
      </w:r>
      <w:r w:rsidR="00EB7B6B">
        <w:rPr>
          <w:szCs w:val="18"/>
        </w:rPr>
        <w:t>en</w:t>
      </w:r>
      <w:r w:rsidR="00885FBB">
        <w:rPr>
          <w:szCs w:val="18"/>
        </w:rPr>
        <w:t xml:space="preserve">kantoren in </w:t>
      </w:r>
      <w:r w:rsidR="00EB7B6B">
        <w:rPr>
          <w:szCs w:val="18"/>
        </w:rPr>
        <w:t xml:space="preserve">alle </w:t>
      </w:r>
      <w:r w:rsidR="0033448F">
        <w:rPr>
          <w:szCs w:val="18"/>
        </w:rPr>
        <w:t xml:space="preserve">26 </w:t>
      </w:r>
      <w:r w:rsidR="00C74A5D">
        <w:rPr>
          <w:szCs w:val="18"/>
        </w:rPr>
        <w:t xml:space="preserve">lenende </w:t>
      </w:r>
      <w:r w:rsidR="0033448F">
        <w:rPr>
          <w:szCs w:val="18"/>
        </w:rPr>
        <w:t xml:space="preserve">regionale </w:t>
      </w:r>
      <w:r w:rsidR="00EB7B6B">
        <w:rPr>
          <w:szCs w:val="18"/>
        </w:rPr>
        <w:t xml:space="preserve">landen. De Colombiaan Luis Alberto Moreno is in 2015 voor </w:t>
      </w:r>
      <w:r w:rsidR="00643AAF">
        <w:rPr>
          <w:szCs w:val="18"/>
        </w:rPr>
        <w:t xml:space="preserve">een </w:t>
      </w:r>
      <w:r w:rsidR="00EB7B6B">
        <w:rPr>
          <w:szCs w:val="18"/>
        </w:rPr>
        <w:t>derde termijn van 5 jaar herkozen als President van de IDB</w:t>
      </w:r>
      <w:r w:rsidR="00304EFB">
        <w:rPr>
          <w:szCs w:val="18"/>
        </w:rPr>
        <w:t xml:space="preserve">. </w:t>
      </w:r>
    </w:p>
    <w:p w14:paraId="09CD957B" w14:textId="6D57231F" w:rsidR="00E10B2F" w:rsidRDefault="00E10B2F" w:rsidP="00193F8A">
      <w:pPr>
        <w:rPr>
          <w:szCs w:val="18"/>
        </w:rPr>
      </w:pPr>
    </w:p>
    <w:p w14:paraId="42EB4948" w14:textId="644EBE97" w:rsidR="00E10B2F" w:rsidRDefault="00E10B2F" w:rsidP="00193F8A">
      <w:pPr>
        <w:rPr>
          <w:szCs w:val="18"/>
        </w:rPr>
      </w:pPr>
      <w:r>
        <w:rPr>
          <w:szCs w:val="18"/>
        </w:rPr>
        <w:t xml:space="preserve">De Raad van Gouverneurs is het hoogste besluitvormende orgaan van de IDB. Deze Raad komt in principe enkel bijeen tijdens de Jaarvergadering. Het dagelijks bestuur van de Bank is gedelegeerd aan de Raad van Bewindvoerders. De Bewindvoerders zijn permanent geplaatst op het hoofdkantoor en nemen, namens de landen die ze vertegenwoordigen, deel aan de vergaderingen. Naast de Verenigde Staten en Canada, die een eigen Bewindvoerder hebben, hebben de overige landen zich verenigd in 12 kiesgroepen. Elke kiesgroep heeft een Bewindvoerder, een plaatsvervangende Bewindvoerder en eventueel verschillende nationale adviseurs. Deze structuur geldt voor zowel de IDB </w:t>
      </w:r>
      <w:r w:rsidR="006737DE">
        <w:rPr>
          <w:szCs w:val="18"/>
        </w:rPr>
        <w:t>als</w:t>
      </w:r>
      <w:r>
        <w:rPr>
          <w:szCs w:val="18"/>
        </w:rPr>
        <w:t xml:space="preserve"> de IIC</w:t>
      </w:r>
      <w:r w:rsidR="006737DE">
        <w:rPr>
          <w:szCs w:val="18"/>
        </w:rPr>
        <w:t xml:space="preserve"> maar niet alle leden van de IDB zijn ook IIC-lid en ook de invulling van de kiesgroepen komt niet geheel overeen. </w:t>
      </w:r>
    </w:p>
    <w:p w14:paraId="12E28900" w14:textId="77777777" w:rsidR="00885FBB" w:rsidRPr="00885FBB" w:rsidRDefault="00885FBB" w:rsidP="00193F8A">
      <w:pPr>
        <w:rPr>
          <w:szCs w:val="22"/>
        </w:rPr>
      </w:pPr>
    </w:p>
    <w:p w14:paraId="12E28901" w14:textId="69452D19" w:rsidR="00591869" w:rsidRPr="00591869" w:rsidRDefault="00591869" w:rsidP="00193F8A">
      <w:pPr>
        <w:rPr>
          <w:szCs w:val="22"/>
        </w:rPr>
      </w:pPr>
      <w:r>
        <w:rPr>
          <w:szCs w:val="22"/>
        </w:rPr>
        <w:t>Het gros van de lenende landen is een (laag) middeninkomensland.</w:t>
      </w:r>
      <w:r w:rsidR="00C16E42">
        <w:rPr>
          <w:szCs w:val="22"/>
        </w:rPr>
        <w:t xml:space="preserve"> Een aantal </w:t>
      </w:r>
      <w:r w:rsidR="00B71844">
        <w:rPr>
          <w:szCs w:val="22"/>
        </w:rPr>
        <w:t>Caribische lidstaten he</w:t>
      </w:r>
      <w:r w:rsidR="00C16E42">
        <w:rPr>
          <w:szCs w:val="22"/>
        </w:rPr>
        <w:t>bben</w:t>
      </w:r>
      <w:r w:rsidR="00B71844">
        <w:rPr>
          <w:szCs w:val="22"/>
        </w:rPr>
        <w:t xml:space="preserve"> een hogere inkomensstatus, maar gelden door hun kwetsbaarheid en kleine omvang als </w:t>
      </w:r>
      <w:r w:rsidR="006F33F9" w:rsidRPr="004D5FC0">
        <w:rPr>
          <w:i/>
          <w:szCs w:val="22"/>
        </w:rPr>
        <w:t>Small Island Developing States</w:t>
      </w:r>
      <w:r w:rsidR="00B71844">
        <w:rPr>
          <w:szCs w:val="22"/>
        </w:rPr>
        <w:t xml:space="preserve"> (SIDS). </w:t>
      </w:r>
      <w:r w:rsidR="00C4005B">
        <w:rPr>
          <w:szCs w:val="22"/>
        </w:rPr>
        <w:t>Haïti</w:t>
      </w:r>
      <w:r>
        <w:rPr>
          <w:szCs w:val="22"/>
        </w:rPr>
        <w:t xml:space="preserve"> is </w:t>
      </w:r>
      <w:r w:rsidR="00016EE7">
        <w:rPr>
          <w:szCs w:val="22"/>
        </w:rPr>
        <w:t xml:space="preserve">het enige </w:t>
      </w:r>
      <w:r w:rsidR="00B71844">
        <w:rPr>
          <w:szCs w:val="22"/>
        </w:rPr>
        <w:t>minst ontwikkeld</w:t>
      </w:r>
      <w:r w:rsidR="00016EE7">
        <w:rPr>
          <w:szCs w:val="22"/>
        </w:rPr>
        <w:t>e</w:t>
      </w:r>
      <w:r w:rsidR="00B71844">
        <w:rPr>
          <w:szCs w:val="22"/>
        </w:rPr>
        <w:t xml:space="preserve"> </w:t>
      </w:r>
      <w:r>
        <w:rPr>
          <w:szCs w:val="22"/>
        </w:rPr>
        <w:t xml:space="preserve">land en komt </w:t>
      </w:r>
      <w:r w:rsidR="00A20CA1">
        <w:rPr>
          <w:szCs w:val="22"/>
        </w:rPr>
        <w:t xml:space="preserve">daarmee </w:t>
      </w:r>
      <w:r>
        <w:rPr>
          <w:szCs w:val="22"/>
        </w:rPr>
        <w:t xml:space="preserve">in aanmerking voor schenkingen uit de IDB </w:t>
      </w:r>
      <w:r>
        <w:rPr>
          <w:i/>
          <w:szCs w:val="22"/>
        </w:rPr>
        <w:t>Grant Facility</w:t>
      </w:r>
      <w:r>
        <w:rPr>
          <w:szCs w:val="22"/>
        </w:rPr>
        <w:t xml:space="preserve">. </w:t>
      </w:r>
    </w:p>
    <w:p w14:paraId="12E28902" w14:textId="77777777" w:rsidR="00D136CA" w:rsidRDefault="00D136CA" w:rsidP="00193F8A"/>
    <w:p w14:paraId="12E28903" w14:textId="70D28189" w:rsidR="00D01A98" w:rsidRDefault="00D01A98" w:rsidP="00193F8A">
      <w:r>
        <w:rPr>
          <w:szCs w:val="22"/>
        </w:rPr>
        <w:t>Het</w:t>
      </w:r>
      <w:r w:rsidR="0043696E">
        <w:rPr>
          <w:szCs w:val="22"/>
        </w:rPr>
        <w:t xml:space="preserve"> Britse</w:t>
      </w:r>
      <w:r>
        <w:rPr>
          <w:szCs w:val="22"/>
        </w:rPr>
        <w:t xml:space="preserve"> M</w:t>
      </w:r>
      <w:r w:rsidR="00C4005B">
        <w:rPr>
          <w:szCs w:val="22"/>
        </w:rPr>
        <w:t xml:space="preserve">inisterie voor </w:t>
      </w:r>
      <w:r w:rsidR="00C4005B" w:rsidRPr="00C4005B">
        <w:rPr>
          <w:szCs w:val="22"/>
        </w:rPr>
        <w:t xml:space="preserve">Internationale Ontwikkeling (DFID) </w:t>
      </w:r>
      <w:r>
        <w:rPr>
          <w:szCs w:val="22"/>
        </w:rPr>
        <w:t xml:space="preserve">waardeert de IDB, in een analyse uit 2016, als </w:t>
      </w:r>
      <w:r w:rsidR="00C4005B" w:rsidRPr="00C4005B">
        <w:t xml:space="preserve">een effectieve partner in een regio waar het Verenigd Koninkrijk beperkte ontwikkelingssamenwerkingsrelaties </w:t>
      </w:r>
      <w:r w:rsidR="00BF38ED">
        <w:t>heeft</w:t>
      </w:r>
      <w:r w:rsidR="00C4005B" w:rsidRPr="00C4005B">
        <w:t xml:space="preserve">. De </w:t>
      </w:r>
      <w:r w:rsidR="009D1723">
        <w:t>Bank</w:t>
      </w:r>
      <w:r w:rsidR="00C4005B" w:rsidRPr="00C4005B">
        <w:t xml:space="preserve"> </w:t>
      </w:r>
      <w:r w:rsidR="00096E6B">
        <w:t xml:space="preserve">heeft stabiele </w:t>
      </w:r>
      <w:r w:rsidR="00C4005B" w:rsidRPr="00504E39">
        <w:t xml:space="preserve">institutionele capaciteiten; </w:t>
      </w:r>
      <w:r w:rsidR="00096E6B">
        <w:t>de</w:t>
      </w:r>
      <w:r w:rsidR="00C4005B" w:rsidRPr="00504E39">
        <w:t xml:space="preserve"> Britse </w:t>
      </w:r>
      <w:r w:rsidR="00096E6B">
        <w:t>feedback</w:t>
      </w:r>
      <w:r w:rsidR="00C4005B" w:rsidRPr="00504E39">
        <w:t xml:space="preserve"> richt zich voornamelijk op een grotere gewenste focus op gender, de “</w:t>
      </w:r>
      <w:r w:rsidR="002B48CD">
        <w:rPr>
          <w:i/>
          <w:iCs/>
        </w:rPr>
        <w:t>Leave No One B</w:t>
      </w:r>
      <w:r w:rsidR="00C4005B" w:rsidRPr="00504E39">
        <w:rPr>
          <w:i/>
          <w:iCs/>
        </w:rPr>
        <w:t>ehind</w:t>
      </w:r>
      <w:r w:rsidR="00C4005B" w:rsidRPr="00504E39">
        <w:t>’ agenda en fragiele staten</w:t>
      </w:r>
      <w:r w:rsidR="00BF38ED" w:rsidRPr="00504E39">
        <w:t>.</w:t>
      </w:r>
      <w:r w:rsidR="002B48CD">
        <w:t xml:space="preserve"> </w:t>
      </w:r>
    </w:p>
    <w:p w14:paraId="12E28904" w14:textId="77777777" w:rsidR="00D01A98" w:rsidRDefault="00D01A98" w:rsidP="00193F8A"/>
    <w:p w14:paraId="12E28905" w14:textId="74455FE1" w:rsidR="001E2698" w:rsidRDefault="00504E39" w:rsidP="00193F8A">
      <w:r w:rsidRPr="00504E39">
        <w:t xml:space="preserve">Het </w:t>
      </w:r>
      <w:r w:rsidRPr="00504E39">
        <w:rPr>
          <w:i/>
        </w:rPr>
        <w:t xml:space="preserve">Multilateral Organization Performance Assessment Network </w:t>
      </w:r>
      <w:r w:rsidRPr="00504E39">
        <w:t>(MOPAN)</w:t>
      </w:r>
      <w:r w:rsidR="004D5FC0">
        <w:t xml:space="preserve"> h</w:t>
      </w:r>
      <w:r>
        <w:t xml:space="preserve">eeft recentelijk zijn </w:t>
      </w:r>
      <w:r w:rsidR="00D01A98">
        <w:t xml:space="preserve">IDB-evaluatie herzien: de </w:t>
      </w:r>
      <w:r>
        <w:t xml:space="preserve">IDB </w:t>
      </w:r>
      <w:r w:rsidR="00D01A98">
        <w:t xml:space="preserve">wordt </w:t>
      </w:r>
      <w:r>
        <w:t xml:space="preserve">beschreven als een effectieve multilaterale organisatie met een sterke klantgerichtheid, een goed begrip van de regio en een duidelijke inzet op ontwikkelingseffectiviteit. MOPAN is in grote lijnen positief over het operationele model van de IDB maar </w:t>
      </w:r>
      <w:r w:rsidR="00D01A98">
        <w:t>geeft aan dat het</w:t>
      </w:r>
      <w:r>
        <w:t xml:space="preserve"> HR-beleid </w:t>
      </w:r>
      <w:r w:rsidR="00096E6B">
        <w:t>verscherpt moet worden.</w:t>
      </w:r>
      <w:r w:rsidR="002B48CD">
        <w:t xml:space="preserve"> </w:t>
      </w:r>
    </w:p>
    <w:p w14:paraId="247C1FD2" w14:textId="77777777" w:rsidR="003F17A2" w:rsidRPr="00D01A98" w:rsidRDefault="003F17A2" w:rsidP="00193F8A">
      <w:pPr>
        <w:rPr>
          <w:rFonts w:ascii="Calibri" w:hAnsi="Calibri"/>
          <w:sz w:val="22"/>
          <w:szCs w:val="22"/>
        </w:rPr>
      </w:pPr>
    </w:p>
    <w:p w14:paraId="12E28906" w14:textId="26A29F09" w:rsidR="00D745A7" w:rsidRDefault="00B3437D" w:rsidP="00193F8A">
      <w:pPr>
        <w:pStyle w:val="Heading2"/>
        <w:tabs>
          <w:tab w:val="left" w:pos="-1162"/>
          <w:tab w:val="left" w:pos="0"/>
          <w:tab w:val="num" w:pos="1160"/>
        </w:tabs>
        <w:spacing w:line="240" w:lineRule="atLeast"/>
        <w:ind w:hanging="1162"/>
      </w:pPr>
      <w:bookmarkStart w:id="33" w:name="_Toc473812720"/>
      <w:bookmarkStart w:id="34" w:name="_Toc491437682"/>
      <w:r>
        <w:t>3</w:t>
      </w:r>
      <w:r w:rsidR="00F24A31">
        <w:t xml:space="preserve">.3 </w:t>
      </w:r>
      <w:r w:rsidR="00F24A31">
        <w:tab/>
      </w:r>
      <w:r w:rsidR="00D745A7">
        <w:t xml:space="preserve">Nederlandse </w:t>
      </w:r>
      <w:r w:rsidR="000304C1">
        <w:t>rol en invloed</w:t>
      </w:r>
      <w:bookmarkEnd w:id="33"/>
      <w:bookmarkEnd w:id="34"/>
    </w:p>
    <w:p w14:paraId="12E28909" w14:textId="1AD400C5" w:rsidR="008A3BED" w:rsidRPr="00B813A2" w:rsidRDefault="005509D7" w:rsidP="00193F8A">
      <w:r>
        <w:t>Binnen de IDB Groep worden landen vertegenwoordigd in kiesgroepkantoren. De lidstaten leveren om beurten</w:t>
      </w:r>
      <w:r w:rsidR="00E70662">
        <w:t>,</w:t>
      </w:r>
      <w:r>
        <w:t xml:space="preserve"> en op basis van het aandelenkapitaal</w:t>
      </w:r>
      <w:r w:rsidR="00E70662">
        <w:t>,</w:t>
      </w:r>
      <w:r w:rsidR="00855234">
        <w:t xml:space="preserve"> de Be</w:t>
      </w:r>
      <w:r>
        <w:t>windvoerder</w:t>
      </w:r>
      <w:r w:rsidR="00855234">
        <w:t>.</w:t>
      </w:r>
      <w:r w:rsidR="00096E6B">
        <w:t xml:space="preserve"> </w:t>
      </w:r>
      <w:r w:rsidR="00C42FC9">
        <w:t xml:space="preserve">In de IDB vormt </w:t>
      </w:r>
      <w:r>
        <w:t>Nederland</w:t>
      </w:r>
      <w:r w:rsidR="008A3BED">
        <w:t xml:space="preserve"> </w:t>
      </w:r>
      <w:r w:rsidR="00673451">
        <w:t>een kiesgroep met België, Duitsland, Italië, Zwitserland, Israë</w:t>
      </w:r>
      <w:r w:rsidR="008A3BED">
        <w:t>l en China. Duit</w:t>
      </w:r>
      <w:r w:rsidR="00673451">
        <w:t>sland en Italië</w:t>
      </w:r>
      <w:r w:rsidR="00C42FC9">
        <w:t xml:space="preserve"> leveren om beurten de B</w:t>
      </w:r>
      <w:r w:rsidR="002F6E6B">
        <w:t xml:space="preserve">ewindvoerder: </w:t>
      </w:r>
      <w:r w:rsidR="00E70662">
        <w:t xml:space="preserve">per </w:t>
      </w:r>
      <w:r w:rsidR="002F6E6B">
        <w:t xml:space="preserve">juli 2016 vervult Stefania Bazzoni </w:t>
      </w:r>
      <w:r w:rsidR="00673451">
        <w:t>(Italië)</w:t>
      </w:r>
      <w:r w:rsidR="002F6E6B">
        <w:t xml:space="preserve"> de bewindvoerder</w:t>
      </w:r>
      <w:r w:rsidR="00B71844">
        <w:t>functie</w:t>
      </w:r>
      <w:r w:rsidR="002F6E6B">
        <w:t xml:space="preserve">. </w:t>
      </w:r>
      <w:r w:rsidR="00D97364">
        <w:t xml:space="preserve">Op basis van een rotatieschema worden de </w:t>
      </w:r>
      <w:r w:rsidR="00E70662">
        <w:t xml:space="preserve">overige </w:t>
      </w:r>
      <w:r w:rsidR="00D97364">
        <w:t xml:space="preserve">posities binnen de kiesgroep tussen de landen verdeeld. </w:t>
      </w:r>
      <w:r w:rsidR="00A50B58">
        <w:t>Het Nederlands aandeel in het aandelenkapitaal bedraagt momenteel 0</w:t>
      </w:r>
      <w:r w:rsidR="00E70662">
        <w:t>,218</w:t>
      </w:r>
      <w:r w:rsidR="001756F1">
        <w:t xml:space="preserve">%, het aandeel van de gehele kiesgroep is </w:t>
      </w:r>
      <w:r w:rsidR="00B813A2">
        <w:t xml:space="preserve">5.024%. </w:t>
      </w:r>
      <w:r w:rsidR="00D97364">
        <w:t xml:space="preserve">Sinds de introductie van een </w:t>
      </w:r>
      <w:r w:rsidR="00D97364" w:rsidRPr="001756F1">
        <w:rPr>
          <w:i/>
        </w:rPr>
        <w:t>junior</w:t>
      </w:r>
      <w:r w:rsidR="00D97364">
        <w:t xml:space="preserve"> </w:t>
      </w:r>
      <w:r w:rsidR="00D97364" w:rsidRPr="001756F1">
        <w:rPr>
          <w:i/>
        </w:rPr>
        <w:t>counselor</w:t>
      </w:r>
      <w:r w:rsidR="00D97364">
        <w:t xml:space="preserve"> heeft Nederland</w:t>
      </w:r>
      <w:r w:rsidR="00F5777F">
        <w:t xml:space="preserve"> permanent</w:t>
      </w:r>
      <w:r w:rsidR="00A463FD">
        <w:t xml:space="preserve"> </w:t>
      </w:r>
      <w:r w:rsidR="00D97364">
        <w:t xml:space="preserve">recht op een </w:t>
      </w:r>
      <w:r w:rsidR="00F5777F">
        <w:t xml:space="preserve">bezoldigd </w:t>
      </w:r>
      <w:r w:rsidR="001756F1">
        <w:t>adviseur</w:t>
      </w:r>
      <w:r w:rsidR="001756F1">
        <w:rPr>
          <w:i/>
        </w:rPr>
        <w:t xml:space="preserve">. </w:t>
      </w:r>
    </w:p>
    <w:p w14:paraId="12E2890A" w14:textId="77777777" w:rsidR="001756F1" w:rsidRDefault="001756F1" w:rsidP="00193F8A">
      <w:pPr>
        <w:rPr>
          <w:i/>
        </w:rPr>
      </w:pPr>
    </w:p>
    <w:p w14:paraId="12E2890B" w14:textId="77777777" w:rsidR="001756F1" w:rsidRDefault="00E70662" w:rsidP="00193F8A">
      <w:r>
        <w:t>Binnen de</w:t>
      </w:r>
      <w:r w:rsidR="001756F1">
        <w:t xml:space="preserve"> IIC maakt </w:t>
      </w:r>
      <w:r w:rsidR="001756F1" w:rsidRPr="00E70662">
        <w:t xml:space="preserve">Nederland deel </w:t>
      </w:r>
      <w:r w:rsidR="00673451">
        <w:t>uit van een kiesgroep met België</w:t>
      </w:r>
      <w:r w:rsidR="001756F1" w:rsidRPr="00E70662">
        <w:t xml:space="preserve">, </w:t>
      </w:r>
      <w:r w:rsidR="005509D7" w:rsidRPr="00E70662">
        <w:t>Duitsland</w:t>
      </w:r>
      <w:r w:rsidR="001756F1" w:rsidRPr="00E70662">
        <w:t>, Itali</w:t>
      </w:r>
      <w:r w:rsidR="00673451">
        <w:t>ë</w:t>
      </w:r>
      <w:r w:rsidR="001756F1" w:rsidRPr="00E70662">
        <w:t>, Oostenrijk en China. Door de grote toename van aandelenkapita</w:t>
      </w:r>
      <w:r w:rsidRPr="00E70662">
        <w:t xml:space="preserve">al van China in de IIC </w:t>
      </w:r>
      <w:r>
        <w:t>is er overeenstemming bereikt over een nieuw rotatieschema dat per juli 2017 in werking zal treden.</w:t>
      </w:r>
      <w:r w:rsidR="001756F1" w:rsidRPr="00E70662">
        <w:t xml:space="preserve"> </w:t>
      </w:r>
      <w:r w:rsidR="005509D7" w:rsidRPr="00E70662">
        <w:t>Het Nederlandse aandeel in het a</w:t>
      </w:r>
      <w:r w:rsidR="00CE1A50" w:rsidRPr="00E70662">
        <w:t>andelenkapitaal</w:t>
      </w:r>
      <w:r w:rsidR="00CE1A50">
        <w:t xml:space="preserve"> van de IIC is 1,35</w:t>
      </w:r>
      <w:r w:rsidR="005509D7">
        <w:t>%</w:t>
      </w:r>
      <w:r w:rsidR="00CE1A50">
        <w:t xml:space="preserve"> in 2017</w:t>
      </w:r>
      <w:r w:rsidR="005509D7">
        <w:t xml:space="preserve">, het totale </w:t>
      </w:r>
      <w:r w:rsidR="005509D7" w:rsidRPr="00CE1A50">
        <w:t xml:space="preserve">aandeel van de </w:t>
      </w:r>
      <w:r w:rsidR="00CE1A50" w:rsidRPr="00CE1A50">
        <w:t xml:space="preserve">kiesgroep is 9,35%. </w:t>
      </w:r>
    </w:p>
    <w:p w14:paraId="12E2890C" w14:textId="77777777" w:rsidR="005509D7" w:rsidRDefault="005509D7" w:rsidP="00193F8A"/>
    <w:p w14:paraId="12E2890D" w14:textId="6AEAB947" w:rsidR="00A90510" w:rsidRDefault="005509D7" w:rsidP="00193F8A">
      <w:r>
        <w:t xml:space="preserve">Nederland is donor van het </w:t>
      </w:r>
      <w:r>
        <w:rPr>
          <w:i/>
        </w:rPr>
        <w:t>Multilateraal Investment Fund</w:t>
      </w:r>
      <w:r>
        <w:t xml:space="preserve">. In dit fonds vertegenwoordigen de adviseurs de lidstaten, er is geen sprake van </w:t>
      </w:r>
      <w:r w:rsidR="00096E6B">
        <w:t>de kiesgroepstructuur</w:t>
      </w:r>
      <w:r w:rsidRPr="00E70662">
        <w:t>. Nederland heeft momenteel een aandeel in het aandelenkapitaal van 1,</w:t>
      </w:r>
      <w:r w:rsidR="00B06DFD">
        <w:t>25</w:t>
      </w:r>
      <w:r w:rsidRPr="00E70662">
        <w:t>%</w:t>
      </w:r>
      <w:r w:rsidR="00297AA5">
        <w:t xml:space="preserve"> en een stemrecht van 1,5%</w:t>
      </w:r>
      <w:r w:rsidRPr="00E70662">
        <w:t>.</w:t>
      </w:r>
      <w:r w:rsidR="0057709B">
        <w:t xml:space="preserve"> </w:t>
      </w:r>
    </w:p>
    <w:p w14:paraId="12E2890E" w14:textId="77777777" w:rsidR="00BC216A" w:rsidRDefault="00BC216A" w:rsidP="00193F8A"/>
    <w:p w14:paraId="12E2890F" w14:textId="01B7BC5C" w:rsidR="00BC216A" w:rsidRDefault="00BC216A" w:rsidP="00193F8A">
      <w:r>
        <w:t xml:space="preserve">Hoewel Nederland een kleine aandeelhouder is binnen de IDBG, heeft ze een actieve rol in de kiesgroep en langs die weg ook invloed op het beleid van de </w:t>
      </w:r>
      <w:r w:rsidR="009D1723">
        <w:t>Bank</w:t>
      </w:r>
      <w:r>
        <w:t xml:space="preserve">. Nederland legt bij haar inbreng sterk de nadruk op </w:t>
      </w:r>
      <w:r w:rsidR="008B4244">
        <w:t>het belang van een</w:t>
      </w:r>
      <w:r>
        <w:t xml:space="preserve"> armoede- en genderfocus </w:t>
      </w:r>
      <w:r w:rsidR="008B4244">
        <w:t xml:space="preserve">van de </w:t>
      </w:r>
      <w:r w:rsidR="009D1723">
        <w:t>Bank</w:t>
      </w:r>
      <w:r w:rsidR="008B4244">
        <w:t xml:space="preserve">. </w:t>
      </w:r>
    </w:p>
    <w:p w14:paraId="00C1C4A2" w14:textId="77777777" w:rsidR="006429ED" w:rsidRDefault="006429ED" w:rsidP="00193F8A"/>
    <w:p w14:paraId="12E28910" w14:textId="4D5BC981" w:rsidR="00D745A7" w:rsidRDefault="00B3437D" w:rsidP="00193F8A">
      <w:pPr>
        <w:pStyle w:val="Heading2"/>
        <w:tabs>
          <w:tab w:val="left" w:pos="-1162"/>
          <w:tab w:val="left" w:pos="0"/>
          <w:tab w:val="num" w:pos="1160"/>
        </w:tabs>
        <w:spacing w:line="240" w:lineRule="atLeast"/>
        <w:ind w:hanging="1162"/>
      </w:pPr>
      <w:bookmarkStart w:id="35" w:name="_Toc473812721"/>
      <w:bookmarkStart w:id="36" w:name="_Toc491437683"/>
      <w:r>
        <w:t>3</w:t>
      </w:r>
      <w:r w:rsidR="00F24A31">
        <w:t>.4</w:t>
      </w:r>
      <w:r w:rsidR="00F24A31">
        <w:tab/>
      </w:r>
      <w:r w:rsidR="00D745A7">
        <w:t>Financiële omvang en bijdragen</w:t>
      </w:r>
      <w:bookmarkEnd w:id="35"/>
      <w:bookmarkEnd w:id="36"/>
    </w:p>
    <w:p w14:paraId="12E28911" w14:textId="108FDC09" w:rsidR="001F011F" w:rsidRDefault="00D3546D" w:rsidP="00193F8A">
      <w:pPr>
        <w:rPr>
          <w:i/>
        </w:rPr>
      </w:pPr>
      <w:r>
        <w:t xml:space="preserve">In 2010 is er overeenstemming bereikt over de negende kapitaalverhoging </w:t>
      </w:r>
      <w:r w:rsidR="009A2647">
        <w:t xml:space="preserve">van de IDB </w:t>
      </w:r>
      <w:r w:rsidR="00E70662">
        <w:t xml:space="preserve">met 70% tot USD 170.9 miljard. Het </w:t>
      </w:r>
      <w:r w:rsidR="004163ED">
        <w:rPr>
          <w:i/>
        </w:rPr>
        <w:t>paid-</w:t>
      </w:r>
      <w:r w:rsidR="00E70662">
        <w:rPr>
          <w:i/>
        </w:rPr>
        <w:t xml:space="preserve">in </w:t>
      </w:r>
      <w:r w:rsidR="00AF277A">
        <w:t>gedeelte bedraagt USD 5,</w:t>
      </w:r>
      <w:r w:rsidR="00E70662">
        <w:t xml:space="preserve">7 miljard, ofwel 3,4%, het overige kapitaal </w:t>
      </w:r>
      <w:r>
        <w:t>is garantiekapitaal (</w:t>
      </w:r>
      <w:r w:rsidRPr="001E2698">
        <w:rPr>
          <w:i/>
        </w:rPr>
        <w:t xml:space="preserve">callable capital). </w:t>
      </w:r>
    </w:p>
    <w:p w14:paraId="12E28912" w14:textId="77777777" w:rsidR="001F011F" w:rsidRDefault="001F011F" w:rsidP="00193F8A">
      <w:pPr>
        <w:rPr>
          <w:i/>
        </w:rPr>
      </w:pPr>
    </w:p>
    <w:p w14:paraId="12E28913" w14:textId="468718B3" w:rsidR="00D3546D" w:rsidRDefault="00A25405" w:rsidP="00193F8A">
      <w:r>
        <w:t xml:space="preserve">Bij de </w:t>
      </w:r>
      <w:r w:rsidR="008B72BF">
        <w:t>J</w:t>
      </w:r>
      <w:r>
        <w:t>aarvergadering in 2015 is de</w:t>
      </w:r>
      <w:r w:rsidR="00D3546D">
        <w:t xml:space="preserve"> tweede kapitaalverhoging van de IIC</w:t>
      </w:r>
      <w:r>
        <w:t xml:space="preserve"> overeengekomen </w:t>
      </w:r>
      <w:r w:rsidR="00D3546D">
        <w:t xml:space="preserve">met </w:t>
      </w:r>
      <w:r>
        <w:t>e</w:t>
      </w:r>
      <w:r w:rsidR="00D3546D">
        <w:t xml:space="preserve">en totale waarde </w:t>
      </w:r>
      <w:r w:rsidR="00AF277A">
        <w:t>USD 2,</w:t>
      </w:r>
      <w:r w:rsidR="00696BA7">
        <w:t>0</w:t>
      </w:r>
      <w:r w:rsidR="00800A9B">
        <w:t>3</w:t>
      </w:r>
      <w:r w:rsidR="00696BA7">
        <w:t xml:space="preserve"> miljard</w:t>
      </w:r>
      <w:r>
        <w:t xml:space="preserve">. Hiervan </w:t>
      </w:r>
      <w:r w:rsidR="006A1905">
        <w:t>bestaat</w:t>
      </w:r>
      <w:r>
        <w:t xml:space="preserve"> USD</w:t>
      </w:r>
      <w:r w:rsidR="00AF277A">
        <w:t xml:space="preserve"> 1,</w:t>
      </w:r>
      <w:r w:rsidR="00696BA7">
        <w:t>3</w:t>
      </w:r>
      <w:r w:rsidR="00082C0F">
        <w:t>1</w:t>
      </w:r>
      <w:r w:rsidR="00696BA7">
        <w:t xml:space="preserve"> </w:t>
      </w:r>
      <w:r w:rsidR="00095B22">
        <w:t>mld.</w:t>
      </w:r>
      <w:r w:rsidR="00696BA7">
        <w:t xml:space="preserve"> uit </w:t>
      </w:r>
      <w:r w:rsidR="006A1905">
        <w:t>nieuwe kapitaal</w:t>
      </w:r>
      <w:r w:rsidR="00696BA7">
        <w:t xml:space="preserve">bijdragen van donoren en USD 725 </w:t>
      </w:r>
      <w:r w:rsidR="00095B22">
        <w:t>mln.</w:t>
      </w:r>
      <w:r w:rsidR="00696BA7">
        <w:t xml:space="preserve"> uit IDB-</w:t>
      </w:r>
      <w:r w:rsidR="006A1905">
        <w:t>transfer</w:t>
      </w:r>
      <w:r w:rsidR="00696BA7">
        <w:t>bijdrage</w:t>
      </w:r>
      <w:r w:rsidR="006A1905">
        <w:t>n</w:t>
      </w:r>
      <w:r w:rsidR="00696BA7">
        <w:t xml:space="preserve">. </w:t>
      </w:r>
      <w:r w:rsidR="00CA2B53">
        <w:t>Tot 2025</w:t>
      </w:r>
      <w:r>
        <w:t>, het einde van de opstartfase van IIC, blijft de IDB middels zijn bijdrage</w:t>
      </w:r>
      <w:r w:rsidR="00800A9B">
        <w:t>n en kruiselingse boekingen</w:t>
      </w:r>
      <w:r>
        <w:t xml:space="preserve"> de IIC ondersteunen. </w:t>
      </w:r>
      <w:r w:rsidR="00696BA7">
        <w:t>Nederland heeft niet deelgen</w:t>
      </w:r>
      <w:r>
        <w:t xml:space="preserve">omen aan </w:t>
      </w:r>
      <w:r w:rsidR="00095B22">
        <w:t>noch de</w:t>
      </w:r>
      <w:r w:rsidR="006A1905">
        <w:t xml:space="preserve"> IDB als de </w:t>
      </w:r>
      <w:r w:rsidR="00096E6B">
        <w:t>IIC-kapitaalaanvulling</w:t>
      </w:r>
      <w:r w:rsidR="00696BA7">
        <w:t xml:space="preserve">. </w:t>
      </w:r>
    </w:p>
    <w:p w14:paraId="12E28914" w14:textId="77777777" w:rsidR="00E86C84" w:rsidRDefault="00E86C84" w:rsidP="00193F8A"/>
    <w:p w14:paraId="12E28915" w14:textId="38E64D4E" w:rsidR="00E86C84" w:rsidRDefault="00E86C84" w:rsidP="00193F8A">
      <w:r>
        <w:t>De IDBG heeft in 2016 projecten met e</w:t>
      </w:r>
      <w:r w:rsidR="00095B22">
        <w:t>en totale waarde van USD 11,6 ml</w:t>
      </w:r>
      <w:r>
        <w:t>d</w:t>
      </w:r>
      <w:r w:rsidR="00095B22">
        <w:t>.</w:t>
      </w:r>
      <w:r>
        <w:t xml:space="preserve"> goedgekeurd, dit is in lijn </w:t>
      </w:r>
      <w:r w:rsidR="00EB67BF">
        <w:t xml:space="preserve">met </w:t>
      </w:r>
      <w:r>
        <w:t xml:space="preserve">2015. Het gros is besteed aan publieke leningen: </w:t>
      </w:r>
      <w:r w:rsidR="00315F46">
        <w:t>USD 9,3</w:t>
      </w:r>
      <w:r w:rsidR="00095B22">
        <w:t xml:space="preserve"> mld</w:t>
      </w:r>
      <w:r>
        <w:t xml:space="preserve">. </w:t>
      </w:r>
      <w:r w:rsidR="00315F46">
        <w:t xml:space="preserve">Verder </w:t>
      </w:r>
      <w:r w:rsidR="00095B22">
        <w:t>heeft de IDBG USD 2,2 ml</w:t>
      </w:r>
      <w:r w:rsidR="00315F46">
        <w:t>d</w:t>
      </w:r>
      <w:r w:rsidR="00095B22">
        <w:t>.</w:t>
      </w:r>
      <w:r w:rsidR="00315F46">
        <w:t xml:space="preserve"> uitgegeven aan private leningen, USD 55 mln</w:t>
      </w:r>
      <w:r w:rsidR="00095B22">
        <w:t>.</w:t>
      </w:r>
      <w:r w:rsidR="00315F46">
        <w:t xml:space="preserve"> </w:t>
      </w:r>
      <w:r w:rsidR="00EB67BF">
        <w:t>geïnvesteerd</w:t>
      </w:r>
      <w:r w:rsidR="00315F46">
        <w:t xml:space="preserve"> in </w:t>
      </w:r>
      <w:r w:rsidR="00315F46" w:rsidRPr="00EB67BF">
        <w:rPr>
          <w:i/>
        </w:rPr>
        <w:t>equity</w:t>
      </w:r>
      <w:r w:rsidR="00315F46">
        <w:t xml:space="preserve"> en USD 282 mln</w:t>
      </w:r>
      <w:r w:rsidR="00095B22">
        <w:t>.</w:t>
      </w:r>
      <w:r w:rsidR="00315F46">
        <w:t xml:space="preserve"> aan schenkingen verstrekt. </w:t>
      </w:r>
      <w:r w:rsidR="00EC78DC">
        <w:t>Daarnaast heeft de IDBG USD 322 mln</w:t>
      </w:r>
      <w:r w:rsidR="00095B22">
        <w:t>.</w:t>
      </w:r>
      <w:r w:rsidR="00EC78DC">
        <w:t xml:space="preserve"> aan publieke leningen verstrekt dankzij </w:t>
      </w:r>
      <w:r w:rsidR="00EB67BF">
        <w:t>cofinanciering</w:t>
      </w:r>
      <w:r w:rsidR="00EC78DC">
        <w:t xml:space="preserve"> en USD 186 mln</w:t>
      </w:r>
      <w:r w:rsidR="00095B22">
        <w:t>.</w:t>
      </w:r>
      <w:r w:rsidR="00EC78DC">
        <w:t xml:space="preserve"> aan schenkingen </w:t>
      </w:r>
      <w:r w:rsidR="00EB67BF">
        <w:t>via trustfondsen</w:t>
      </w:r>
      <w:r w:rsidR="001F0FF5">
        <w:t>.</w:t>
      </w:r>
      <w:r w:rsidR="00EB67BF">
        <w:t xml:space="preserve"> </w:t>
      </w:r>
    </w:p>
    <w:p w14:paraId="12E28916" w14:textId="77777777" w:rsidR="00A25405" w:rsidRDefault="00A25405" w:rsidP="00193F8A"/>
    <w:p w14:paraId="12E28917" w14:textId="4A48C4DB" w:rsidR="00E86C84" w:rsidRDefault="00A25405" w:rsidP="00193F8A">
      <w:r>
        <w:t xml:space="preserve">Bij de </w:t>
      </w:r>
      <w:r w:rsidR="008B72BF">
        <w:t>Jaarvergadering</w:t>
      </w:r>
      <w:r>
        <w:t xml:space="preserve"> </w:t>
      </w:r>
      <w:r w:rsidR="008B72BF">
        <w:t xml:space="preserve">van de IDBG in </w:t>
      </w:r>
      <w:r>
        <w:t>2017</w:t>
      </w:r>
      <w:r w:rsidR="00E86C84">
        <w:t xml:space="preserve"> hebben de lidstaten een overeenkomst bereikt voor </w:t>
      </w:r>
      <w:r w:rsidR="00C16E42">
        <w:t>een</w:t>
      </w:r>
      <w:r w:rsidR="009A2647">
        <w:t xml:space="preserve"> middelenaanvulling </w:t>
      </w:r>
      <w:r w:rsidR="008B72BF">
        <w:t xml:space="preserve">van het MIF </w:t>
      </w:r>
      <w:r w:rsidR="009A2647">
        <w:t xml:space="preserve">van USD 300 mln. Met deze middelenaanvulling </w:t>
      </w:r>
      <w:r>
        <w:t>zal</w:t>
      </w:r>
      <w:r w:rsidR="009A2647">
        <w:t xml:space="preserve"> het MIF in staat </w:t>
      </w:r>
      <w:r>
        <w:t>zijn om ter waarde van 85 mln</w:t>
      </w:r>
      <w:r w:rsidR="00095B22">
        <w:t>.</w:t>
      </w:r>
      <w:r>
        <w:t xml:space="preserve"> per jaar</w:t>
      </w:r>
      <w:r w:rsidR="009A2647">
        <w:t xml:space="preserve"> projecten te blijven uitvoeren tot 20</w:t>
      </w:r>
      <w:r w:rsidR="00442DBA">
        <w:t xml:space="preserve">23. </w:t>
      </w:r>
      <w:r w:rsidR="008B72BF">
        <w:t xml:space="preserve">Na deze laatste middelenaanvulling wordt het MIF onafhankelijk van donorbijdragen en </w:t>
      </w:r>
      <w:r w:rsidR="00CA2B53">
        <w:t xml:space="preserve">dient te worden gefinancierd </w:t>
      </w:r>
      <w:r w:rsidR="00096E6B">
        <w:t>vanuit</w:t>
      </w:r>
      <w:r w:rsidR="00CA2B53">
        <w:t xml:space="preserve"> IDB en/of IIC. </w:t>
      </w:r>
    </w:p>
    <w:p w14:paraId="12E28918" w14:textId="77777777" w:rsidR="00CA2B53" w:rsidRPr="005E5A41" w:rsidRDefault="00CA2B53" w:rsidP="00193F8A">
      <w:pPr>
        <w:rPr>
          <w:strike/>
          <w:color w:val="A6A6A6"/>
        </w:rPr>
      </w:pPr>
    </w:p>
    <w:p w14:paraId="12E28919" w14:textId="190DE8CE" w:rsidR="00A725A5" w:rsidRDefault="00E35711" w:rsidP="00193F8A">
      <w:pPr>
        <w:rPr>
          <w:i/>
        </w:rPr>
      </w:pPr>
      <w:r>
        <w:t xml:space="preserve">Financieel overzicht </w:t>
      </w:r>
      <w:r w:rsidR="00914A7A">
        <w:rPr>
          <w:i/>
        </w:rPr>
        <w:t>(Bedragen in miljoen</w:t>
      </w:r>
      <w:r w:rsidR="00A725A5">
        <w:rPr>
          <w:i/>
        </w:rPr>
        <w:t xml:space="preserve"> USD)</w:t>
      </w:r>
    </w:p>
    <w:p w14:paraId="45A8ED6B" w14:textId="77777777" w:rsidR="002B48CD" w:rsidRPr="00A725A5" w:rsidRDefault="002B48CD" w:rsidP="00193F8A">
      <w:pPr>
        <w:rPr>
          <w:i/>
        </w:rPr>
      </w:pPr>
    </w:p>
    <w:tbl>
      <w:tblPr>
        <w:tblW w:w="79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92"/>
        <w:gridCol w:w="1582"/>
        <w:gridCol w:w="1568"/>
        <w:gridCol w:w="1501"/>
      </w:tblGrid>
      <w:tr w:rsidR="004265EA" w:rsidRPr="0069317D" w14:paraId="12E2891E" w14:textId="77777777" w:rsidTr="00C75A9A">
        <w:tc>
          <w:tcPr>
            <w:tcW w:w="3292" w:type="dxa"/>
            <w:tcBorders>
              <w:top w:val="single" w:sz="12" w:space="0" w:color="auto"/>
              <w:bottom w:val="single" w:sz="12" w:space="0" w:color="auto"/>
            </w:tcBorders>
            <w:shd w:val="clear" w:color="auto" w:fill="D9D9D9" w:themeFill="background1" w:themeFillShade="D9"/>
          </w:tcPr>
          <w:p w14:paraId="12E2891A" w14:textId="77777777" w:rsidR="004265EA" w:rsidRPr="0069317D" w:rsidRDefault="004265EA" w:rsidP="00193F8A"/>
        </w:tc>
        <w:tc>
          <w:tcPr>
            <w:tcW w:w="1582" w:type="dxa"/>
            <w:tcBorders>
              <w:top w:val="single" w:sz="12" w:space="0" w:color="auto"/>
              <w:bottom w:val="single" w:sz="12" w:space="0" w:color="auto"/>
            </w:tcBorders>
            <w:shd w:val="clear" w:color="auto" w:fill="D9D9D9" w:themeFill="background1" w:themeFillShade="D9"/>
          </w:tcPr>
          <w:p w14:paraId="12E2891B" w14:textId="77777777" w:rsidR="004265EA" w:rsidRPr="0069317D" w:rsidRDefault="004265EA" w:rsidP="00193F8A">
            <w:r>
              <w:t>IDB</w:t>
            </w:r>
          </w:p>
        </w:tc>
        <w:tc>
          <w:tcPr>
            <w:tcW w:w="1568" w:type="dxa"/>
            <w:tcBorders>
              <w:top w:val="single" w:sz="12" w:space="0" w:color="auto"/>
              <w:bottom w:val="single" w:sz="12" w:space="0" w:color="auto"/>
            </w:tcBorders>
            <w:shd w:val="clear" w:color="auto" w:fill="D9D9D9" w:themeFill="background1" w:themeFillShade="D9"/>
          </w:tcPr>
          <w:p w14:paraId="12E2891C" w14:textId="77777777" w:rsidR="004265EA" w:rsidRPr="0069317D" w:rsidRDefault="004265EA" w:rsidP="00193F8A">
            <w:r>
              <w:t>IIC</w:t>
            </w:r>
          </w:p>
        </w:tc>
        <w:tc>
          <w:tcPr>
            <w:tcW w:w="1501" w:type="dxa"/>
            <w:tcBorders>
              <w:top w:val="single" w:sz="12" w:space="0" w:color="auto"/>
              <w:bottom w:val="single" w:sz="12" w:space="0" w:color="auto"/>
            </w:tcBorders>
            <w:shd w:val="clear" w:color="auto" w:fill="D9D9D9" w:themeFill="background1" w:themeFillShade="D9"/>
          </w:tcPr>
          <w:p w14:paraId="12E2891D" w14:textId="77777777" w:rsidR="004265EA" w:rsidRDefault="004265EA" w:rsidP="00193F8A">
            <w:r>
              <w:t>MIF</w:t>
            </w:r>
          </w:p>
        </w:tc>
      </w:tr>
      <w:tr w:rsidR="004265EA" w:rsidRPr="0069317D" w14:paraId="12E28923" w14:textId="77777777" w:rsidTr="00C75A9A">
        <w:tc>
          <w:tcPr>
            <w:tcW w:w="3292" w:type="dxa"/>
            <w:tcBorders>
              <w:top w:val="single" w:sz="12" w:space="0" w:color="auto"/>
            </w:tcBorders>
            <w:shd w:val="clear" w:color="auto" w:fill="auto"/>
          </w:tcPr>
          <w:p w14:paraId="12E2891F" w14:textId="3521AF35" w:rsidR="004265EA" w:rsidRPr="00B813A2" w:rsidRDefault="00960EDC" w:rsidP="00193F8A">
            <w:r>
              <w:rPr>
                <w:szCs w:val="18"/>
                <w:lang w:eastAsia="zh-CN"/>
              </w:rPr>
              <w:t>Verstrekte schenkingen in 20</w:t>
            </w:r>
            <w:r w:rsidR="004265EA" w:rsidRPr="00B813A2">
              <w:rPr>
                <w:szCs w:val="18"/>
                <w:lang w:eastAsia="zh-CN"/>
              </w:rPr>
              <w:t>16</w:t>
            </w:r>
          </w:p>
        </w:tc>
        <w:tc>
          <w:tcPr>
            <w:tcW w:w="1582" w:type="dxa"/>
            <w:tcBorders>
              <w:top w:val="single" w:sz="12" w:space="0" w:color="auto"/>
            </w:tcBorders>
            <w:shd w:val="clear" w:color="auto" w:fill="auto"/>
          </w:tcPr>
          <w:p w14:paraId="12E28920" w14:textId="77777777" w:rsidR="004265EA" w:rsidRPr="00B813A2" w:rsidRDefault="00362C3B" w:rsidP="00193F8A">
            <w:r w:rsidRPr="00B813A2">
              <w:t>502</w:t>
            </w:r>
          </w:p>
        </w:tc>
        <w:tc>
          <w:tcPr>
            <w:tcW w:w="1568" w:type="dxa"/>
            <w:tcBorders>
              <w:top w:val="single" w:sz="12" w:space="0" w:color="auto"/>
            </w:tcBorders>
            <w:shd w:val="clear" w:color="auto" w:fill="auto"/>
          </w:tcPr>
          <w:p w14:paraId="12E28921" w14:textId="77777777" w:rsidR="004265EA" w:rsidRPr="00B813A2" w:rsidRDefault="004265EA" w:rsidP="00193F8A">
            <w:r w:rsidRPr="00B813A2">
              <w:t>-</w:t>
            </w:r>
          </w:p>
        </w:tc>
        <w:tc>
          <w:tcPr>
            <w:tcW w:w="1501" w:type="dxa"/>
            <w:tcBorders>
              <w:top w:val="single" w:sz="12" w:space="0" w:color="auto"/>
            </w:tcBorders>
          </w:tcPr>
          <w:p w14:paraId="12E28922" w14:textId="74A44F33" w:rsidR="004265EA" w:rsidRPr="00B813A2" w:rsidRDefault="00960EDC" w:rsidP="00193F8A">
            <w:r>
              <w:t>48,7</w:t>
            </w:r>
          </w:p>
        </w:tc>
      </w:tr>
      <w:tr w:rsidR="004265EA" w:rsidRPr="0069317D" w14:paraId="12E28928" w14:textId="77777777" w:rsidTr="00C75A9A">
        <w:tc>
          <w:tcPr>
            <w:tcW w:w="3292" w:type="dxa"/>
            <w:shd w:val="clear" w:color="auto" w:fill="auto"/>
          </w:tcPr>
          <w:p w14:paraId="12E28924" w14:textId="75B22BD2" w:rsidR="004265EA" w:rsidRPr="00B813A2" w:rsidRDefault="00A54CA9" w:rsidP="00193F8A">
            <w:r>
              <w:rPr>
                <w:szCs w:val="18"/>
                <w:lang w:eastAsia="zh-CN"/>
              </w:rPr>
              <w:t>Uitgekeerde</w:t>
            </w:r>
            <w:r w:rsidR="00960EDC">
              <w:rPr>
                <w:szCs w:val="18"/>
                <w:lang w:eastAsia="zh-CN"/>
              </w:rPr>
              <w:t xml:space="preserve"> financiering</w:t>
            </w:r>
            <w:r w:rsidR="00A96A13">
              <w:rPr>
                <w:szCs w:val="18"/>
                <w:lang w:eastAsia="zh-CN"/>
              </w:rPr>
              <w:t xml:space="preserve"> in 20</w:t>
            </w:r>
            <w:r w:rsidR="00CE4826">
              <w:rPr>
                <w:szCs w:val="18"/>
                <w:lang w:eastAsia="zh-CN"/>
              </w:rPr>
              <w:t>16</w:t>
            </w:r>
          </w:p>
        </w:tc>
        <w:tc>
          <w:tcPr>
            <w:tcW w:w="1582" w:type="dxa"/>
            <w:shd w:val="clear" w:color="auto" w:fill="auto"/>
          </w:tcPr>
          <w:p w14:paraId="12E28925" w14:textId="3A4819E5" w:rsidR="004265EA" w:rsidRPr="00B813A2" w:rsidRDefault="00A54CA9" w:rsidP="002B48CD">
            <w:r>
              <w:t>9.600</w:t>
            </w:r>
          </w:p>
        </w:tc>
        <w:tc>
          <w:tcPr>
            <w:tcW w:w="1568" w:type="dxa"/>
            <w:shd w:val="clear" w:color="auto" w:fill="auto"/>
          </w:tcPr>
          <w:p w14:paraId="12E28926" w14:textId="2AFD6BF0" w:rsidR="004265EA" w:rsidRPr="00B813A2" w:rsidRDefault="00A54CA9" w:rsidP="002B48CD">
            <w:r>
              <w:t>1.416</w:t>
            </w:r>
          </w:p>
        </w:tc>
        <w:tc>
          <w:tcPr>
            <w:tcW w:w="1501" w:type="dxa"/>
          </w:tcPr>
          <w:p w14:paraId="12E28927" w14:textId="66CD33AD" w:rsidR="004265EA" w:rsidRPr="00B813A2" w:rsidRDefault="00960EDC" w:rsidP="002B48CD">
            <w:r>
              <w:t>37,3</w:t>
            </w:r>
          </w:p>
        </w:tc>
      </w:tr>
      <w:tr w:rsidR="004265EA" w:rsidRPr="0069317D" w14:paraId="12E28932" w14:textId="77777777" w:rsidTr="00C75A9A">
        <w:tc>
          <w:tcPr>
            <w:tcW w:w="3292" w:type="dxa"/>
            <w:shd w:val="clear" w:color="auto" w:fill="auto"/>
          </w:tcPr>
          <w:p w14:paraId="6CE02ACB" w14:textId="77777777" w:rsidR="00B617FA" w:rsidRDefault="004265EA" w:rsidP="00193F8A">
            <w:pPr>
              <w:rPr>
                <w:szCs w:val="18"/>
                <w:lang w:eastAsia="zh-CN"/>
              </w:rPr>
            </w:pPr>
            <w:r w:rsidRPr="00B813A2">
              <w:rPr>
                <w:szCs w:val="18"/>
                <w:lang w:eastAsia="zh-CN"/>
              </w:rPr>
              <w:t xml:space="preserve">Totaal </w:t>
            </w:r>
            <w:r w:rsidR="00B617FA">
              <w:rPr>
                <w:szCs w:val="18"/>
                <w:lang w:eastAsia="zh-CN"/>
              </w:rPr>
              <w:t>(aandelen)</w:t>
            </w:r>
            <w:r w:rsidRPr="00B813A2">
              <w:rPr>
                <w:szCs w:val="18"/>
                <w:lang w:eastAsia="zh-CN"/>
              </w:rPr>
              <w:t xml:space="preserve">kapitaal </w:t>
            </w:r>
          </w:p>
          <w:p w14:paraId="12E2892E" w14:textId="295C551C" w:rsidR="004265EA" w:rsidRPr="00B813A2" w:rsidRDefault="00B617FA" w:rsidP="00193F8A">
            <w:r>
              <w:rPr>
                <w:szCs w:val="18"/>
                <w:lang w:eastAsia="zh-CN"/>
              </w:rPr>
              <w:t xml:space="preserve">Waarvan </w:t>
            </w:r>
            <w:r>
              <w:rPr>
                <w:i/>
                <w:szCs w:val="18"/>
                <w:lang w:eastAsia="zh-CN"/>
              </w:rPr>
              <w:t>paid-in</w:t>
            </w:r>
          </w:p>
        </w:tc>
        <w:tc>
          <w:tcPr>
            <w:tcW w:w="1582" w:type="dxa"/>
            <w:shd w:val="clear" w:color="auto" w:fill="auto"/>
          </w:tcPr>
          <w:p w14:paraId="790BAFBA" w14:textId="77777777" w:rsidR="004265EA" w:rsidRDefault="008A4A7F" w:rsidP="00193F8A">
            <w:r w:rsidRPr="00B813A2">
              <w:t>170.940</w:t>
            </w:r>
          </w:p>
          <w:p w14:paraId="12E2892F" w14:textId="52E114B0" w:rsidR="00B617FA" w:rsidRPr="00B813A2" w:rsidRDefault="00B617FA" w:rsidP="00193F8A">
            <w:r>
              <w:t>5.700</w:t>
            </w:r>
          </w:p>
        </w:tc>
        <w:tc>
          <w:tcPr>
            <w:tcW w:w="1568" w:type="dxa"/>
            <w:shd w:val="clear" w:color="auto" w:fill="auto"/>
          </w:tcPr>
          <w:p w14:paraId="2BB26236" w14:textId="77777777" w:rsidR="005345F4" w:rsidRDefault="005345F4" w:rsidP="005345F4">
            <w:r>
              <w:t>1.512</w:t>
            </w:r>
          </w:p>
          <w:p w14:paraId="12E28930" w14:textId="3DF51739" w:rsidR="00B617FA" w:rsidRPr="00B813A2" w:rsidRDefault="008A4A7F" w:rsidP="00193F8A">
            <w:r w:rsidRPr="00B813A2">
              <w:t>857</w:t>
            </w:r>
          </w:p>
        </w:tc>
        <w:tc>
          <w:tcPr>
            <w:tcW w:w="1501" w:type="dxa"/>
          </w:tcPr>
          <w:p w14:paraId="12EDFB89" w14:textId="77777777" w:rsidR="004265EA" w:rsidRDefault="004F0C0A" w:rsidP="00193F8A">
            <w:r w:rsidRPr="00B813A2">
              <w:t>402</w:t>
            </w:r>
          </w:p>
          <w:p w14:paraId="12E28931" w14:textId="268960FB" w:rsidR="00B617FA" w:rsidRPr="00B813A2" w:rsidRDefault="00B617FA" w:rsidP="00193F8A">
            <w:r>
              <w:t>-</w:t>
            </w:r>
          </w:p>
        </w:tc>
      </w:tr>
      <w:tr w:rsidR="004265EA" w:rsidRPr="0069317D" w14:paraId="12E28937" w14:textId="77777777" w:rsidTr="00C75A9A">
        <w:tc>
          <w:tcPr>
            <w:tcW w:w="3292" w:type="dxa"/>
            <w:shd w:val="clear" w:color="auto" w:fill="auto"/>
          </w:tcPr>
          <w:p w14:paraId="12E28933" w14:textId="77777777" w:rsidR="004265EA" w:rsidRPr="00B813A2" w:rsidRDefault="004265EA" w:rsidP="00193F8A">
            <w:pPr>
              <w:rPr>
                <w:szCs w:val="18"/>
                <w:lang w:eastAsia="zh-CN"/>
              </w:rPr>
            </w:pPr>
            <w:r w:rsidRPr="00B813A2">
              <w:rPr>
                <w:szCs w:val="18"/>
                <w:lang w:eastAsia="zh-CN"/>
              </w:rPr>
              <w:t>Nederlands aandeel in%</w:t>
            </w:r>
          </w:p>
        </w:tc>
        <w:tc>
          <w:tcPr>
            <w:tcW w:w="1582" w:type="dxa"/>
            <w:shd w:val="clear" w:color="auto" w:fill="auto"/>
          </w:tcPr>
          <w:p w14:paraId="12E28934" w14:textId="77777777" w:rsidR="004265EA" w:rsidRPr="00B813A2" w:rsidRDefault="008A4A7F" w:rsidP="00193F8A">
            <w:r w:rsidRPr="00B813A2">
              <w:t>0,20%</w:t>
            </w:r>
          </w:p>
        </w:tc>
        <w:tc>
          <w:tcPr>
            <w:tcW w:w="1568" w:type="dxa"/>
            <w:shd w:val="clear" w:color="auto" w:fill="auto"/>
          </w:tcPr>
          <w:p w14:paraId="12E28935" w14:textId="77777777" w:rsidR="004265EA" w:rsidRPr="00B813A2" w:rsidRDefault="008A4A7F" w:rsidP="00193F8A">
            <w:r w:rsidRPr="00B813A2">
              <w:t>0,71%</w:t>
            </w:r>
          </w:p>
        </w:tc>
        <w:tc>
          <w:tcPr>
            <w:tcW w:w="1501" w:type="dxa"/>
          </w:tcPr>
          <w:p w14:paraId="12E28936" w14:textId="77777777" w:rsidR="004265EA" w:rsidRPr="00B813A2" w:rsidRDefault="00297AA5" w:rsidP="00193F8A">
            <w:r>
              <w:t>1,25</w:t>
            </w:r>
            <w:r w:rsidR="00B813A2" w:rsidRPr="00B813A2">
              <w:t>%</w:t>
            </w:r>
          </w:p>
        </w:tc>
      </w:tr>
      <w:tr w:rsidR="004265EA" w:rsidRPr="0069317D" w14:paraId="12E2893C" w14:textId="77777777" w:rsidTr="00C75A9A">
        <w:tc>
          <w:tcPr>
            <w:tcW w:w="3292" w:type="dxa"/>
            <w:shd w:val="clear" w:color="auto" w:fill="auto"/>
          </w:tcPr>
          <w:p w14:paraId="12E28938" w14:textId="77777777" w:rsidR="004265EA" w:rsidRPr="00B813A2" w:rsidRDefault="004265EA" w:rsidP="00193F8A">
            <w:r w:rsidRPr="00B813A2">
              <w:rPr>
                <w:szCs w:val="18"/>
                <w:lang w:eastAsia="zh-CN"/>
              </w:rPr>
              <w:t>Kiesgroep aandeel in %</w:t>
            </w:r>
          </w:p>
        </w:tc>
        <w:tc>
          <w:tcPr>
            <w:tcW w:w="1582" w:type="dxa"/>
            <w:shd w:val="clear" w:color="auto" w:fill="auto"/>
          </w:tcPr>
          <w:p w14:paraId="12E28939" w14:textId="77777777" w:rsidR="004265EA" w:rsidRPr="00B813A2" w:rsidRDefault="006A1905" w:rsidP="00193F8A">
            <w:r w:rsidRPr="00B813A2">
              <w:t>5.024%</w:t>
            </w:r>
          </w:p>
        </w:tc>
        <w:tc>
          <w:tcPr>
            <w:tcW w:w="1568" w:type="dxa"/>
            <w:shd w:val="clear" w:color="auto" w:fill="auto"/>
          </w:tcPr>
          <w:p w14:paraId="12E2893A" w14:textId="77777777" w:rsidR="004265EA" w:rsidRPr="00B813A2" w:rsidRDefault="00577185" w:rsidP="00193F8A">
            <w:r w:rsidRPr="00B813A2">
              <w:t>9.35%</w:t>
            </w:r>
          </w:p>
        </w:tc>
        <w:tc>
          <w:tcPr>
            <w:tcW w:w="1501" w:type="dxa"/>
          </w:tcPr>
          <w:p w14:paraId="12E2893B" w14:textId="7F182860" w:rsidR="004265EA" w:rsidRPr="00B813A2" w:rsidRDefault="00096E6B" w:rsidP="00193F8A">
            <w:r>
              <w:t>N.v.</w:t>
            </w:r>
            <w:r w:rsidR="004265EA" w:rsidRPr="00B813A2">
              <w:t>t.</w:t>
            </w:r>
          </w:p>
        </w:tc>
      </w:tr>
      <w:tr w:rsidR="004265EA" w:rsidRPr="0069317D" w14:paraId="12E28941" w14:textId="77777777" w:rsidTr="00C75A9A">
        <w:tc>
          <w:tcPr>
            <w:tcW w:w="3292" w:type="dxa"/>
            <w:shd w:val="clear" w:color="auto" w:fill="auto"/>
          </w:tcPr>
          <w:p w14:paraId="12E2893D" w14:textId="77777777" w:rsidR="004265EA" w:rsidRPr="0069317D" w:rsidRDefault="004265EA" w:rsidP="00193F8A">
            <w:pPr>
              <w:rPr>
                <w:szCs w:val="18"/>
                <w:lang w:eastAsia="zh-CN"/>
              </w:rPr>
            </w:pPr>
            <w:r>
              <w:rPr>
                <w:szCs w:val="18"/>
                <w:lang w:eastAsia="zh-CN"/>
              </w:rPr>
              <w:t>Overige Nederlandse bijdragen (TFs)</w:t>
            </w:r>
          </w:p>
        </w:tc>
        <w:tc>
          <w:tcPr>
            <w:tcW w:w="1582" w:type="dxa"/>
            <w:shd w:val="clear" w:color="auto" w:fill="auto"/>
          </w:tcPr>
          <w:p w14:paraId="12E2893E" w14:textId="097B1372" w:rsidR="004265EA" w:rsidRPr="0069317D" w:rsidRDefault="006429ED" w:rsidP="00193F8A">
            <w:r>
              <w:t>-</w:t>
            </w:r>
          </w:p>
        </w:tc>
        <w:tc>
          <w:tcPr>
            <w:tcW w:w="1568" w:type="dxa"/>
            <w:shd w:val="clear" w:color="auto" w:fill="auto"/>
          </w:tcPr>
          <w:p w14:paraId="12E2893F" w14:textId="5F9907CD" w:rsidR="004265EA" w:rsidRPr="0069317D" w:rsidRDefault="006429ED" w:rsidP="006429ED">
            <w:r>
              <w:t>-</w:t>
            </w:r>
          </w:p>
        </w:tc>
        <w:tc>
          <w:tcPr>
            <w:tcW w:w="1501" w:type="dxa"/>
          </w:tcPr>
          <w:p w14:paraId="12E28940" w14:textId="1B3B0EE6" w:rsidR="004265EA" w:rsidRPr="0069317D" w:rsidRDefault="006429ED" w:rsidP="00193F8A">
            <w:r>
              <w:t>-</w:t>
            </w:r>
          </w:p>
        </w:tc>
      </w:tr>
      <w:tr w:rsidR="004265EA" w:rsidRPr="0069317D" w14:paraId="12E28946" w14:textId="77777777" w:rsidTr="00C75A9A">
        <w:tc>
          <w:tcPr>
            <w:tcW w:w="3292" w:type="dxa"/>
            <w:shd w:val="clear" w:color="auto" w:fill="auto"/>
          </w:tcPr>
          <w:p w14:paraId="12E28942" w14:textId="77777777" w:rsidR="004265EA" w:rsidRPr="008A4A7F" w:rsidRDefault="004265EA" w:rsidP="00193F8A">
            <w:pPr>
              <w:rPr>
                <w:highlight w:val="green"/>
              </w:rPr>
            </w:pPr>
            <w:r w:rsidRPr="001F011F">
              <w:rPr>
                <w:szCs w:val="18"/>
                <w:lang w:eastAsia="zh-CN"/>
              </w:rPr>
              <w:t>Positie Nederland op ranglijst</w:t>
            </w:r>
          </w:p>
        </w:tc>
        <w:tc>
          <w:tcPr>
            <w:tcW w:w="1582" w:type="dxa"/>
            <w:shd w:val="clear" w:color="auto" w:fill="auto"/>
          </w:tcPr>
          <w:p w14:paraId="12E28943" w14:textId="77777777" w:rsidR="004265EA" w:rsidRPr="008C00EB" w:rsidRDefault="008C00EB" w:rsidP="00193F8A">
            <w:r>
              <w:t>34</w:t>
            </w:r>
          </w:p>
        </w:tc>
        <w:tc>
          <w:tcPr>
            <w:tcW w:w="1568" w:type="dxa"/>
            <w:shd w:val="clear" w:color="auto" w:fill="auto"/>
          </w:tcPr>
          <w:p w14:paraId="12E28944" w14:textId="77777777" w:rsidR="004265EA" w:rsidRPr="008C00EB" w:rsidRDefault="008C00EB" w:rsidP="00193F8A">
            <w:r>
              <w:t>20</w:t>
            </w:r>
          </w:p>
        </w:tc>
        <w:tc>
          <w:tcPr>
            <w:tcW w:w="1501" w:type="dxa"/>
          </w:tcPr>
          <w:p w14:paraId="12E28945" w14:textId="77777777" w:rsidR="004265EA" w:rsidRPr="0069317D" w:rsidRDefault="001F011F" w:rsidP="00193F8A">
            <w:r>
              <w:t>13</w:t>
            </w:r>
          </w:p>
        </w:tc>
      </w:tr>
      <w:tr w:rsidR="004265EA" w14:paraId="12E2894B" w14:textId="77777777" w:rsidTr="00C75A9A">
        <w:tc>
          <w:tcPr>
            <w:tcW w:w="3292" w:type="dxa"/>
            <w:shd w:val="clear" w:color="auto" w:fill="auto"/>
          </w:tcPr>
          <w:p w14:paraId="12E28947" w14:textId="0B872E30" w:rsidR="004265EA" w:rsidRDefault="004265EA" w:rsidP="00193F8A">
            <w:r>
              <w:rPr>
                <w:szCs w:val="18"/>
                <w:lang w:eastAsia="zh-CN"/>
              </w:rPr>
              <w:t xml:space="preserve">Aantal </w:t>
            </w:r>
            <w:r w:rsidR="00F429E7">
              <w:rPr>
                <w:szCs w:val="18"/>
                <w:lang w:eastAsia="zh-CN"/>
              </w:rPr>
              <w:t>aandeelhouders</w:t>
            </w:r>
          </w:p>
        </w:tc>
        <w:tc>
          <w:tcPr>
            <w:tcW w:w="1582" w:type="dxa"/>
            <w:shd w:val="clear" w:color="auto" w:fill="auto"/>
          </w:tcPr>
          <w:p w14:paraId="12E28948" w14:textId="77777777" w:rsidR="004265EA" w:rsidRDefault="00A725A5" w:rsidP="00193F8A">
            <w:r>
              <w:t>48</w:t>
            </w:r>
          </w:p>
        </w:tc>
        <w:tc>
          <w:tcPr>
            <w:tcW w:w="1568" w:type="dxa"/>
            <w:shd w:val="clear" w:color="auto" w:fill="auto"/>
          </w:tcPr>
          <w:p w14:paraId="12E28949" w14:textId="77777777" w:rsidR="004265EA" w:rsidRDefault="008C00EB" w:rsidP="00193F8A">
            <w:r>
              <w:t>45</w:t>
            </w:r>
          </w:p>
        </w:tc>
        <w:tc>
          <w:tcPr>
            <w:tcW w:w="1501" w:type="dxa"/>
          </w:tcPr>
          <w:p w14:paraId="12E2894A" w14:textId="77777777" w:rsidR="004265EA" w:rsidRDefault="008C00EB" w:rsidP="00193F8A">
            <w:r>
              <w:t>39</w:t>
            </w:r>
          </w:p>
        </w:tc>
      </w:tr>
    </w:tbl>
    <w:p w14:paraId="12E2894C" w14:textId="77777777" w:rsidR="00DA298C" w:rsidRDefault="00DA298C" w:rsidP="00193F8A"/>
    <w:p w14:paraId="12E2894D" w14:textId="77777777" w:rsidR="008B72BF" w:rsidRDefault="006647A1" w:rsidP="00193F8A">
      <w:r>
        <w:t>De regionale lidstaten hebben samen de meerderheid van de aandelen</w:t>
      </w:r>
      <w:r w:rsidR="004F7F9B">
        <w:t xml:space="preserve"> in de IDB</w:t>
      </w:r>
      <w:r>
        <w:t>, met</w:t>
      </w:r>
      <w:r w:rsidR="00842B64">
        <w:t xml:space="preserve"> 50,</w:t>
      </w:r>
      <w:r w:rsidR="00842B64" w:rsidRPr="00842B64">
        <w:t>01</w:t>
      </w:r>
      <w:r w:rsidRPr="00842B64">
        <w:t>%</w:t>
      </w:r>
      <w:r w:rsidR="00842B64" w:rsidRPr="00842B64">
        <w:t xml:space="preserve"> van</w:t>
      </w:r>
      <w:r w:rsidR="008B72BF">
        <w:t xml:space="preserve"> de stemmen. Binnen de regionale lidstaten </w:t>
      </w:r>
      <w:r w:rsidR="00842B64">
        <w:t xml:space="preserve">zijn </w:t>
      </w:r>
      <w:r w:rsidR="00F63FB6">
        <w:t>Brazilië</w:t>
      </w:r>
      <w:r w:rsidR="00842B64">
        <w:t xml:space="preserve"> en </w:t>
      </w:r>
      <w:r w:rsidR="00F63FB6">
        <w:t>Argentinië</w:t>
      </w:r>
      <w:r w:rsidR="00842B64">
        <w:t xml:space="preserve"> grootaandeelhouders met beide 11,</w:t>
      </w:r>
      <w:r w:rsidR="00842B64" w:rsidRPr="00842B64">
        <w:t>3% van de stemmen</w:t>
      </w:r>
      <w:r w:rsidRPr="00842B64">
        <w:t xml:space="preserve">. </w:t>
      </w:r>
      <w:r w:rsidR="008B72BF">
        <w:t xml:space="preserve">Binnen de niet-regionale lidstaten zijn </w:t>
      </w:r>
      <w:r w:rsidR="007A149B" w:rsidRPr="00842B64">
        <w:t>de Verenig</w:t>
      </w:r>
      <w:r w:rsidR="00842B64" w:rsidRPr="00842B64">
        <w:t>de Staten</w:t>
      </w:r>
      <w:r w:rsidR="008B72BF">
        <w:t xml:space="preserve"> en Japan</w:t>
      </w:r>
      <w:r w:rsidR="00842B64" w:rsidRPr="00842B64">
        <w:t xml:space="preserve"> </w:t>
      </w:r>
      <w:r w:rsidR="008B72BF">
        <w:t xml:space="preserve">de grootste aandeelhouders met een aandeel van respectievelijk </w:t>
      </w:r>
      <w:r w:rsidR="00842B64" w:rsidRPr="00842B64">
        <w:t>30</w:t>
      </w:r>
      <w:r w:rsidR="007A149B" w:rsidRPr="00842B64">
        <w:t xml:space="preserve">% </w:t>
      </w:r>
      <w:r w:rsidR="008B72BF">
        <w:t>en</w:t>
      </w:r>
      <w:r w:rsidR="00842B64" w:rsidRPr="00842B64">
        <w:t xml:space="preserve"> 5</w:t>
      </w:r>
      <w:r w:rsidR="007A149B" w:rsidRPr="00842B64">
        <w:t>%</w:t>
      </w:r>
      <w:r w:rsidR="00842B64" w:rsidRPr="00842B64">
        <w:t>.</w:t>
      </w:r>
      <w:r w:rsidR="00CD58D6" w:rsidRPr="00842B64">
        <w:t xml:space="preserve"> </w:t>
      </w:r>
    </w:p>
    <w:p w14:paraId="12E2894E" w14:textId="77777777" w:rsidR="008B72BF" w:rsidRDefault="008B72BF" w:rsidP="00193F8A"/>
    <w:p w14:paraId="12E28951" w14:textId="3F807740" w:rsidR="001E2698" w:rsidRDefault="008B72BF" w:rsidP="00193F8A">
      <w:r>
        <w:lastRenderedPageBreak/>
        <w:t xml:space="preserve">Net als in de IDB hebben de regionale lidstaten in de IIC </w:t>
      </w:r>
      <w:r w:rsidR="00CD58D6">
        <w:t xml:space="preserve">een kleine meerderheid van stemmen. </w:t>
      </w:r>
      <w:r w:rsidR="00CE1A50">
        <w:t>Verder zijn de VS, Spanje, China en Japan grote spelers</w:t>
      </w:r>
      <w:r w:rsidR="001450BA">
        <w:t xml:space="preserve"> </w:t>
      </w:r>
      <w:r w:rsidR="00CE1A50">
        <w:t xml:space="preserve">met samen 31% van de stemkracht. </w:t>
      </w:r>
    </w:p>
    <w:p w14:paraId="12E28952" w14:textId="50859F71" w:rsidR="009811DF" w:rsidRDefault="00B3437D" w:rsidP="00193F8A">
      <w:pPr>
        <w:pStyle w:val="Heading1"/>
        <w:tabs>
          <w:tab w:val="num" w:pos="0"/>
        </w:tabs>
        <w:spacing w:after="240" w:line="240" w:lineRule="atLeast"/>
        <w:ind w:hanging="1162"/>
      </w:pPr>
      <w:bookmarkStart w:id="37" w:name="_Toc473812722"/>
      <w:bookmarkStart w:id="38" w:name="_Toc491437684"/>
      <w:r>
        <w:lastRenderedPageBreak/>
        <w:t>4</w:t>
      </w:r>
      <w:r w:rsidR="00F24A31">
        <w:tab/>
      </w:r>
      <w:r w:rsidR="006C1EB0">
        <w:t>Institutionele aspecten</w:t>
      </w:r>
      <w:r w:rsidR="00D745A7">
        <w:t xml:space="preserve"> </w:t>
      </w:r>
      <w:r w:rsidR="009B1466">
        <w:t xml:space="preserve">en functioneren </w:t>
      </w:r>
      <w:r w:rsidR="00D745A7">
        <w:t>van de organisatie</w:t>
      </w:r>
      <w:bookmarkEnd w:id="37"/>
      <w:bookmarkEnd w:id="38"/>
      <w:r w:rsidR="00260005">
        <w:tab/>
      </w:r>
      <w:r w:rsidR="00260005">
        <w:tab/>
      </w:r>
    </w:p>
    <w:p w14:paraId="12E28953" w14:textId="6E203C4E" w:rsidR="00094518" w:rsidRDefault="00B3437D" w:rsidP="00B3437D">
      <w:pPr>
        <w:pStyle w:val="Heading2"/>
        <w:tabs>
          <w:tab w:val="left" w:pos="-1162"/>
          <w:tab w:val="left" w:pos="0"/>
        </w:tabs>
        <w:spacing w:line="240" w:lineRule="atLeast"/>
        <w:ind w:left="-1162"/>
      </w:pPr>
      <w:bookmarkStart w:id="39" w:name="_Toc473812723"/>
      <w:bookmarkStart w:id="40" w:name="_Toc491437685"/>
      <w:r>
        <w:t>4.1</w:t>
      </w:r>
      <w:r w:rsidR="00260005">
        <w:t xml:space="preserve"> </w:t>
      </w:r>
      <w:r w:rsidR="00B411D8">
        <w:t xml:space="preserve">            </w:t>
      </w:r>
      <w:r w:rsidR="00743337">
        <w:t xml:space="preserve">Strategie en </w:t>
      </w:r>
      <w:r w:rsidR="002A310E">
        <w:t>verantwoording</w:t>
      </w:r>
      <w:bookmarkEnd w:id="39"/>
      <w:bookmarkEnd w:id="40"/>
    </w:p>
    <w:p w14:paraId="12E28954" w14:textId="77777777" w:rsidR="001D0FB6" w:rsidRDefault="007A149B" w:rsidP="00193F8A">
      <w:pPr>
        <w:rPr>
          <w:color w:val="000000"/>
        </w:rPr>
      </w:pPr>
      <w:r w:rsidRPr="005E5A41">
        <w:rPr>
          <w:color w:val="000000"/>
        </w:rPr>
        <w:t xml:space="preserve">Het </w:t>
      </w:r>
      <w:r w:rsidR="005F5BF3" w:rsidRPr="005E5A41">
        <w:rPr>
          <w:color w:val="000000"/>
        </w:rPr>
        <w:t xml:space="preserve">kernmandaat van de IDB is het verminderen van armoede en ongelijkheid en het realiseren van duurzame economische groei in de </w:t>
      </w:r>
      <w:r w:rsidR="004B2089">
        <w:rPr>
          <w:color w:val="000000"/>
        </w:rPr>
        <w:t>Latijns Amerikaanse en Caribische</w:t>
      </w:r>
      <w:r w:rsidR="005F5BF3" w:rsidRPr="005E5A41">
        <w:rPr>
          <w:color w:val="000000"/>
        </w:rPr>
        <w:t xml:space="preserve"> regio. </w:t>
      </w:r>
      <w:r w:rsidR="00106C8F">
        <w:rPr>
          <w:color w:val="000000"/>
        </w:rPr>
        <w:t>In de strategie heeft de IDB zich toe</w:t>
      </w:r>
      <w:r w:rsidR="004B2089">
        <w:rPr>
          <w:color w:val="000000"/>
        </w:rPr>
        <w:t>ge</w:t>
      </w:r>
      <w:r w:rsidR="00106C8F">
        <w:rPr>
          <w:color w:val="000000"/>
        </w:rPr>
        <w:t xml:space="preserve">legd op het doel dat minstens 35% van de financiering naar </w:t>
      </w:r>
      <w:r w:rsidR="004B2089">
        <w:rPr>
          <w:color w:val="000000"/>
        </w:rPr>
        <w:t>armste</w:t>
      </w:r>
      <w:r w:rsidR="00106C8F">
        <w:rPr>
          <w:color w:val="000000"/>
        </w:rPr>
        <w:t xml:space="preserve"> landen </w:t>
      </w:r>
      <w:r w:rsidR="004B2089">
        <w:rPr>
          <w:color w:val="000000"/>
        </w:rPr>
        <w:t xml:space="preserve">in de regio </w:t>
      </w:r>
      <w:r w:rsidR="00106C8F">
        <w:rPr>
          <w:color w:val="000000"/>
        </w:rPr>
        <w:t>moet</w:t>
      </w:r>
      <w:r w:rsidR="004B2089">
        <w:rPr>
          <w:color w:val="000000"/>
        </w:rPr>
        <w:t xml:space="preserve"> gaan; sinds 2011 wordt dit doel ruimschoots behaald. </w:t>
      </w:r>
      <w:r w:rsidR="00106C8F">
        <w:rPr>
          <w:color w:val="000000"/>
        </w:rPr>
        <w:t xml:space="preserve"> </w:t>
      </w:r>
    </w:p>
    <w:p w14:paraId="12E28955" w14:textId="77777777" w:rsidR="00586B96" w:rsidRPr="007A149B" w:rsidRDefault="00586B96" w:rsidP="00193F8A"/>
    <w:p w14:paraId="12E28956" w14:textId="65691151" w:rsidR="00CD0C97" w:rsidRDefault="004820A2" w:rsidP="00193F8A">
      <w:r>
        <w:t>In</w:t>
      </w:r>
      <w:r w:rsidR="00703DA2">
        <w:t xml:space="preserve"> 2010 </w:t>
      </w:r>
      <w:r>
        <w:t xml:space="preserve">heeft de </w:t>
      </w:r>
      <w:r w:rsidR="009D1723">
        <w:t>Bank</w:t>
      </w:r>
      <w:r>
        <w:t xml:space="preserve"> </w:t>
      </w:r>
      <w:r w:rsidR="002607ED">
        <w:t xml:space="preserve">een </w:t>
      </w:r>
      <w:r>
        <w:t>heldere</w:t>
      </w:r>
      <w:r w:rsidR="00703DA2">
        <w:t xml:space="preserve"> </w:t>
      </w:r>
      <w:r w:rsidR="00703DA2">
        <w:rPr>
          <w:i/>
        </w:rPr>
        <w:t>Institutional Strategy</w:t>
      </w:r>
      <w:r w:rsidR="00703DA2">
        <w:t xml:space="preserve"> opgesteld als leidraad voor het beleid van de </w:t>
      </w:r>
      <w:r w:rsidR="009D1723">
        <w:t>Bank</w:t>
      </w:r>
      <w:r w:rsidR="00CD0C97">
        <w:t xml:space="preserve"> voor de periode 2010-2020</w:t>
      </w:r>
      <w:r>
        <w:t xml:space="preserve">, met hierin een specifieke strategiebepaling voor </w:t>
      </w:r>
      <w:r w:rsidR="00CD0C97">
        <w:t xml:space="preserve">de periode 2016-2019. </w:t>
      </w:r>
      <w:r w:rsidR="00600028">
        <w:t xml:space="preserve">Door de bepaling van de regionale uitdagingen poogt de </w:t>
      </w:r>
      <w:r w:rsidR="009D1723">
        <w:t>Bank</w:t>
      </w:r>
      <w:r w:rsidR="00600028">
        <w:t xml:space="preserve"> </w:t>
      </w:r>
      <w:r w:rsidR="00FA6265">
        <w:t>haar</w:t>
      </w:r>
      <w:r w:rsidR="00600028">
        <w:t xml:space="preserve"> prioriteiten</w:t>
      </w:r>
      <w:r w:rsidR="00972846">
        <w:t>, zoals omschreven in 2.</w:t>
      </w:r>
      <w:r w:rsidR="004D5FC0">
        <w:t>1</w:t>
      </w:r>
      <w:r w:rsidR="00972846">
        <w:t>,</w:t>
      </w:r>
      <w:r w:rsidR="00600028">
        <w:t xml:space="preserve"> te behalen</w:t>
      </w:r>
      <w:r w:rsidR="001F0FF5">
        <w:t>.</w:t>
      </w:r>
      <w:r w:rsidR="00600028">
        <w:t xml:space="preserve"> </w:t>
      </w:r>
    </w:p>
    <w:p w14:paraId="12E28957" w14:textId="77777777" w:rsidR="0076707D" w:rsidRDefault="0076707D" w:rsidP="00193F8A"/>
    <w:p w14:paraId="12E28958" w14:textId="5263A22C" w:rsidR="00B31514" w:rsidRPr="00B31514" w:rsidRDefault="0076707D" w:rsidP="00193F8A">
      <w:r w:rsidRPr="000307AC">
        <w:t xml:space="preserve">De </w:t>
      </w:r>
      <w:r w:rsidRPr="000307AC">
        <w:rPr>
          <w:i/>
        </w:rPr>
        <w:t xml:space="preserve">Theory of Change </w:t>
      </w:r>
      <w:r w:rsidRPr="000307AC">
        <w:t xml:space="preserve">wordt door de IDB niet actief benoemd maar zit ingevlochten in de </w:t>
      </w:r>
      <w:r w:rsidRPr="000307AC">
        <w:rPr>
          <w:i/>
        </w:rPr>
        <w:t>Inst</w:t>
      </w:r>
      <w:r w:rsidR="000307AC" w:rsidRPr="000307AC">
        <w:rPr>
          <w:i/>
        </w:rPr>
        <w:t>it</w:t>
      </w:r>
      <w:r w:rsidRPr="000307AC">
        <w:rPr>
          <w:i/>
        </w:rPr>
        <w:t xml:space="preserve">utional Strategy </w:t>
      </w:r>
      <w:r w:rsidRPr="000307AC">
        <w:t xml:space="preserve">en de voortgang van </w:t>
      </w:r>
      <w:r w:rsidR="00AE46DC" w:rsidRPr="000307AC">
        <w:t>de behaalde resultaten in</w:t>
      </w:r>
      <w:r w:rsidRPr="000307AC">
        <w:t xml:space="preserve"> het </w:t>
      </w:r>
      <w:r w:rsidRPr="000307AC">
        <w:rPr>
          <w:i/>
        </w:rPr>
        <w:t xml:space="preserve">Corporate Results Framework. </w:t>
      </w:r>
      <w:r w:rsidR="00470236" w:rsidRPr="000F3CE3">
        <w:t>Op</w:t>
      </w:r>
      <w:r w:rsidR="00470236" w:rsidRPr="000307AC">
        <w:t xml:space="preserve"> projectniveau betrekt de IDB de </w:t>
      </w:r>
      <w:r w:rsidR="006F33F9" w:rsidRPr="004D5FC0">
        <w:rPr>
          <w:i/>
        </w:rPr>
        <w:t>T</w:t>
      </w:r>
      <w:r w:rsidR="00470236" w:rsidRPr="002607ED">
        <w:rPr>
          <w:i/>
        </w:rPr>
        <w:t>heory</w:t>
      </w:r>
      <w:r w:rsidR="00470236" w:rsidRPr="000307AC">
        <w:rPr>
          <w:i/>
        </w:rPr>
        <w:t xml:space="preserve"> of </w:t>
      </w:r>
      <w:r w:rsidR="002607ED">
        <w:rPr>
          <w:i/>
        </w:rPr>
        <w:t>C</w:t>
      </w:r>
      <w:r w:rsidR="00470236" w:rsidRPr="000307AC">
        <w:rPr>
          <w:i/>
        </w:rPr>
        <w:t>hange</w:t>
      </w:r>
      <w:r w:rsidR="000307AC" w:rsidRPr="000307AC">
        <w:t xml:space="preserve"> </w:t>
      </w:r>
      <w:r w:rsidR="00470236" w:rsidRPr="000307AC">
        <w:t xml:space="preserve">bij een kostenbatenanalyse </w:t>
      </w:r>
      <w:r w:rsidR="002607ED">
        <w:t>als</w:t>
      </w:r>
      <w:r w:rsidR="00470236" w:rsidRPr="000307AC">
        <w:t xml:space="preserve"> </w:t>
      </w:r>
      <w:r w:rsidR="000307AC" w:rsidRPr="000307AC">
        <w:t xml:space="preserve">wordt </w:t>
      </w:r>
      <w:r w:rsidR="00470236" w:rsidRPr="000307AC">
        <w:t xml:space="preserve">gekeken of de </w:t>
      </w:r>
      <w:r w:rsidR="00B31514" w:rsidRPr="000307AC">
        <w:t xml:space="preserve">vorm van de </w:t>
      </w:r>
      <w:r w:rsidR="00470236" w:rsidRPr="000307AC">
        <w:t xml:space="preserve">interventie bijdraagt aan </w:t>
      </w:r>
      <w:r w:rsidR="00B31514" w:rsidRPr="000307AC">
        <w:t>de ontwikkelingsdoelstelling.</w:t>
      </w:r>
      <w:r w:rsidR="00B31514" w:rsidRPr="00B31514">
        <w:t xml:space="preserve"> </w:t>
      </w:r>
    </w:p>
    <w:p w14:paraId="12E28959" w14:textId="77777777" w:rsidR="00B31514" w:rsidRPr="00470236" w:rsidRDefault="00B31514" w:rsidP="00193F8A"/>
    <w:p w14:paraId="12E2895A" w14:textId="75107BBB" w:rsidR="00106C8F" w:rsidRDefault="00E93301" w:rsidP="00193F8A">
      <w:r>
        <w:t>De IDB benoemt expliciet dat ze zich aanpas</w:t>
      </w:r>
      <w:r w:rsidR="00C16E42">
        <w:t>t</w:t>
      </w:r>
      <w:r>
        <w:t xml:space="preserve"> aan behoeftes van de klantlanden</w:t>
      </w:r>
      <w:r w:rsidR="004820A2">
        <w:t>, zo spelen de regionale uitdagingen een belangrijke rol in de strategiebepaling</w:t>
      </w:r>
      <w:r w:rsidR="00586B96">
        <w:t xml:space="preserve">. </w:t>
      </w:r>
      <w:r w:rsidR="00470236">
        <w:t>E</w:t>
      </w:r>
      <w:r w:rsidR="00E27792">
        <w:t>en beoordeling van de OECD-DAC benadrukt de sterke afstemming van de IDB met nationale ontwikkelingsprioriteiten</w:t>
      </w:r>
      <w:r w:rsidR="001F0FF5">
        <w:t>.</w:t>
      </w:r>
      <w:r w:rsidR="00E27792">
        <w:t xml:space="preserve"> </w:t>
      </w:r>
    </w:p>
    <w:p w14:paraId="12E2895B" w14:textId="77777777" w:rsidR="00586B96" w:rsidRDefault="00586B96" w:rsidP="00193F8A"/>
    <w:p w14:paraId="12E2895C" w14:textId="2331C41C" w:rsidR="007D64FD" w:rsidRDefault="005859A8" w:rsidP="00193F8A">
      <w:r>
        <w:t xml:space="preserve">De IDB legt </w:t>
      </w:r>
      <w:r w:rsidR="00AE46DC">
        <w:t xml:space="preserve">verantwoording af </w:t>
      </w:r>
      <w:r>
        <w:t xml:space="preserve">aan de Raad waarbij </w:t>
      </w:r>
      <w:r w:rsidR="00586B96">
        <w:t xml:space="preserve">alle </w:t>
      </w:r>
      <w:r w:rsidR="00D92CB7">
        <w:t xml:space="preserve">belangrijke projecten en </w:t>
      </w:r>
      <w:r w:rsidR="00586B96">
        <w:t xml:space="preserve">(institutionele) </w:t>
      </w:r>
      <w:r w:rsidR="00D92CB7">
        <w:t>documenten worden besproken</w:t>
      </w:r>
      <w:r>
        <w:t xml:space="preserve"> en moeten worden aangenomen</w:t>
      </w:r>
      <w:r w:rsidR="00D92CB7">
        <w:t>.</w:t>
      </w:r>
      <w:r w:rsidR="008F5E47">
        <w:t xml:space="preserve"> </w:t>
      </w:r>
      <w:r w:rsidR="00586B96">
        <w:t xml:space="preserve">De afstemming gaat via </w:t>
      </w:r>
      <w:r w:rsidR="00D21F49">
        <w:t>voorbereidende raadgevende</w:t>
      </w:r>
      <w:r w:rsidR="00586B96">
        <w:t xml:space="preserve"> commissies naar de Raad van Bewindvoerders. </w:t>
      </w:r>
      <w:r w:rsidR="008F5E47">
        <w:t xml:space="preserve">Bij grote </w:t>
      </w:r>
      <w:r w:rsidR="00586B96">
        <w:t xml:space="preserve">en invloedrijke </w:t>
      </w:r>
      <w:r w:rsidR="008F5E47">
        <w:t>beslissingen wordt er (elektronische) stemming aangevraagd</w:t>
      </w:r>
      <w:r w:rsidR="00586B96">
        <w:t xml:space="preserve"> en beslissen de Gouverneurs</w:t>
      </w:r>
      <w:r w:rsidR="008F5E47">
        <w:t xml:space="preserve">. </w:t>
      </w:r>
    </w:p>
    <w:p w14:paraId="12E2895D" w14:textId="77777777" w:rsidR="00586B96" w:rsidRDefault="00586B96" w:rsidP="00193F8A"/>
    <w:p w14:paraId="12E2895E" w14:textId="6A5C4C72" w:rsidR="00B351C6" w:rsidRPr="004820A2" w:rsidRDefault="00B351C6" w:rsidP="00193F8A">
      <w:r w:rsidRPr="004820A2">
        <w:t xml:space="preserve">De IDB hecht belang aan zowel maatschappelijke als milieu </w:t>
      </w:r>
      <w:r w:rsidRPr="004820A2">
        <w:rPr>
          <w:i/>
        </w:rPr>
        <w:t>safeguards</w:t>
      </w:r>
      <w:r w:rsidRPr="004820A2">
        <w:t xml:space="preserve">: richtlijnen om zeker te stellen dat bij de uitvoering van projecten de </w:t>
      </w:r>
      <w:r w:rsidR="00260005">
        <w:t xml:space="preserve">negatieve </w:t>
      </w:r>
      <w:r w:rsidRPr="004820A2">
        <w:t xml:space="preserve">gevolgen voor de omgeving worden vermeden of gemitigeerd. Het klachtenmechanisme van de </w:t>
      </w:r>
      <w:r w:rsidR="009D1723">
        <w:t>Bank</w:t>
      </w:r>
      <w:r w:rsidRPr="004820A2">
        <w:t xml:space="preserve"> biedt een platform voor gedupeerden wanneer de </w:t>
      </w:r>
      <w:r w:rsidR="009D1723">
        <w:t>Bank</w:t>
      </w:r>
      <w:r w:rsidRPr="004820A2">
        <w:t xml:space="preserve"> </w:t>
      </w:r>
      <w:r w:rsidR="00FA6265">
        <w:t>haar</w:t>
      </w:r>
      <w:r w:rsidRPr="004820A2">
        <w:t xml:space="preserve"> eigen regels niet naleeft. </w:t>
      </w:r>
      <w:r w:rsidR="0003321E" w:rsidRPr="004820A2">
        <w:t xml:space="preserve">Het klachtenmechanisme van de IDB valt onder het </w:t>
      </w:r>
      <w:r w:rsidR="0003321E" w:rsidRPr="004820A2">
        <w:rPr>
          <w:i/>
        </w:rPr>
        <w:t xml:space="preserve">Independent Consultation Investigation Mechanism </w:t>
      </w:r>
      <w:r w:rsidR="003A4CC1" w:rsidRPr="004820A2">
        <w:t xml:space="preserve">(ICIM), </w:t>
      </w:r>
      <w:r w:rsidR="00AE46DC" w:rsidRPr="004820A2">
        <w:t xml:space="preserve">welk direct </w:t>
      </w:r>
      <w:r w:rsidRPr="004820A2">
        <w:t>rapporteert</w:t>
      </w:r>
      <w:r w:rsidR="0084449E" w:rsidRPr="004820A2">
        <w:t xml:space="preserve"> aan </w:t>
      </w:r>
      <w:r w:rsidR="00920E8D" w:rsidRPr="004820A2">
        <w:t xml:space="preserve">de Raad </w:t>
      </w:r>
      <w:r w:rsidR="0030522A" w:rsidRPr="004820A2">
        <w:t>van B</w:t>
      </w:r>
      <w:r w:rsidR="0003321E" w:rsidRPr="004820A2">
        <w:t xml:space="preserve">ewindvoerders. </w:t>
      </w:r>
      <w:r w:rsidRPr="004820A2">
        <w:t xml:space="preserve">In haar </w:t>
      </w:r>
      <w:r w:rsidR="003A4CC1" w:rsidRPr="004820A2">
        <w:t>openbare</w:t>
      </w:r>
      <w:r w:rsidRPr="004820A2">
        <w:t xml:space="preserve"> jaarrapport publiceert ICIM informatie over alle lopende en afgeronde klachten. </w:t>
      </w:r>
      <w:r w:rsidR="003A4CC1" w:rsidRPr="004820A2">
        <w:t xml:space="preserve">Daarnaast wordt er online een overzicht bijgehouden van de status van de lopende projecten. </w:t>
      </w:r>
    </w:p>
    <w:p w14:paraId="12E2895F" w14:textId="77777777" w:rsidR="00B351C6" w:rsidRDefault="00B351C6" w:rsidP="00193F8A">
      <w:pPr>
        <w:rPr>
          <w:color w:val="FF0000"/>
        </w:rPr>
      </w:pPr>
    </w:p>
    <w:p w14:paraId="12E28960" w14:textId="33F662DC" w:rsidR="009711D9" w:rsidRPr="004820A2" w:rsidRDefault="0003321E" w:rsidP="00193F8A">
      <w:r w:rsidRPr="004820A2">
        <w:t xml:space="preserve">De afgelopen 5 jaar </w:t>
      </w:r>
      <w:r w:rsidR="0084449E" w:rsidRPr="004820A2">
        <w:t>is</w:t>
      </w:r>
      <w:r w:rsidR="0080389D" w:rsidRPr="004820A2">
        <w:t xml:space="preserve"> het </w:t>
      </w:r>
      <w:r w:rsidR="00A421B8">
        <w:t>klachten</w:t>
      </w:r>
      <w:r w:rsidR="0030522A" w:rsidRPr="004820A2">
        <w:t>mechanisme</w:t>
      </w:r>
      <w:r w:rsidR="0080389D" w:rsidRPr="004820A2">
        <w:t xml:space="preserve"> </w:t>
      </w:r>
      <w:r w:rsidR="005E0FBA">
        <w:t>drastisch</w:t>
      </w:r>
      <w:r w:rsidRPr="004820A2">
        <w:t xml:space="preserve"> </w:t>
      </w:r>
      <w:r w:rsidR="0084449E" w:rsidRPr="004820A2">
        <w:t>veranderd</w:t>
      </w:r>
      <w:r w:rsidRPr="004820A2">
        <w:t xml:space="preserve">: </w:t>
      </w:r>
      <w:r w:rsidR="0084449E" w:rsidRPr="004820A2">
        <w:t>de</w:t>
      </w:r>
      <w:r w:rsidRPr="004820A2">
        <w:t xml:space="preserve"> </w:t>
      </w:r>
      <w:r w:rsidR="002607ED" w:rsidRPr="004820A2">
        <w:t>efficiëntie</w:t>
      </w:r>
      <w:r w:rsidRPr="004820A2">
        <w:t xml:space="preserve"> en effectiviteit </w:t>
      </w:r>
      <w:r w:rsidR="0030522A" w:rsidRPr="004820A2">
        <w:t xml:space="preserve">zijn verhoogd </w:t>
      </w:r>
      <w:r w:rsidR="009339E6" w:rsidRPr="004820A2">
        <w:t>en de afbakening tussen ICIM en de nationale bevoegdheden is verduidelijkt.</w:t>
      </w:r>
      <w:r w:rsidR="002607ED">
        <w:t xml:space="preserve"> </w:t>
      </w:r>
      <w:r w:rsidR="00A421B8">
        <w:t>Echter</w:t>
      </w:r>
      <w:r w:rsidR="002607ED">
        <w:t xml:space="preserve"> i</w:t>
      </w:r>
      <w:r w:rsidR="0080389D" w:rsidRPr="004820A2">
        <w:t xml:space="preserve">n de herziening </w:t>
      </w:r>
      <w:r w:rsidR="0084449E" w:rsidRPr="004820A2">
        <w:t xml:space="preserve">zijn </w:t>
      </w:r>
      <w:r w:rsidR="00E15579">
        <w:t xml:space="preserve">maar </w:t>
      </w:r>
      <w:r w:rsidR="0084449E" w:rsidRPr="004820A2">
        <w:t>e</w:t>
      </w:r>
      <w:r w:rsidRPr="004820A2">
        <w:t xml:space="preserve">en beperkt aantal aanbevelingen vanuit het veld meegenomen; dit heeft de </w:t>
      </w:r>
      <w:r w:rsidR="009339E6" w:rsidRPr="004820A2">
        <w:t>reikwijdte</w:t>
      </w:r>
      <w:r w:rsidRPr="004820A2">
        <w:t xml:space="preserve"> </w:t>
      </w:r>
      <w:r w:rsidR="0084449E" w:rsidRPr="004820A2">
        <w:t xml:space="preserve">van ICIM </w:t>
      </w:r>
      <w:r w:rsidRPr="004820A2">
        <w:t xml:space="preserve">in de ogen van </w:t>
      </w:r>
      <w:r w:rsidRPr="004820A2">
        <w:rPr>
          <w:i/>
        </w:rPr>
        <w:t xml:space="preserve">civil society </w:t>
      </w:r>
      <w:r w:rsidR="009339E6" w:rsidRPr="004820A2">
        <w:t>niet vergroot</w:t>
      </w:r>
      <w:r w:rsidR="001F0FF5">
        <w:t>.</w:t>
      </w:r>
      <w:r w:rsidRPr="004820A2">
        <w:t xml:space="preserve"> </w:t>
      </w:r>
    </w:p>
    <w:p w14:paraId="12E28961" w14:textId="685213C6" w:rsidR="00586B96" w:rsidRDefault="00586B96" w:rsidP="00193F8A"/>
    <w:p w14:paraId="2FCD7743" w14:textId="4F1F02AD" w:rsidR="00E35711" w:rsidRDefault="00E35711" w:rsidP="00193F8A"/>
    <w:p w14:paraId="73B6755F" w14:textId="30FBFE93" w:rsidR="00E35711" w:rsidRDefault="00E35711" w:rsidP="00193F8A"/>
    <w:p w14:paraId="4E621C60" w14:textId="1587C533" w:rsidR="00E35711" w:rsidRDefault="00E35711" w:rsidP="00193F8A"/>
    <w:p w14:paraId="14A4E197" w14:textId="244943EF" w:rsidR="00E35711" w:rsidRDefault="00E35711" w:rsidP="00193F8A"/>
    <w:p w14:paraId="29BFEEA2" w14:textId="31B5573C" w:rsidR="00E35711" w:rsidRDefault="00E35711" w:rsidP="00193F8A"/>
    <w:p w14:paraId="14E07423" w14:textId="08505AA5" w:rsidR="00E35711" w:rsidRDefault="00E35711" w:rsidP="00193F8A"/>
    <w:p w14:paraId="0DB21CDF" w14:textId="77777777" w:rsidR="00E35711" w:rsidRPr="0003321E" w:rsidRDefault="00E35711" w:rsidP="00193F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9A513F" w14:paraId="12E28964" w14:textId="77777777" w:rsidTr="00F313B0">
        <w:tc>
          <w:tcPr>
            <w:tcW w:w="6912" w:type="dxa"/>
            <w:tcBorders>
              <w:top w:val="single" w:sz="12" w:space="0" w:color="auto"/>
              <w:left w:val="single" w:sz="12" w:space="0" w:color="auto"/>
              <w:bottom w:val="single" w:sz="12" w:space="0" w:color="auto"/>
            </w:tcBorders>
            <w:shd w:val="clear" w:color="auto" w:fill="D9D9D9"/>
          </w:tcPr>
          <w:p w14:paraId="12E28962" w14:textId="77777777" w:rsidR="009A513F" w:rsidRPr="00EA0AA8" w:rsidRDefault="009A513F" w:rsidP="00193F8A">
            <w:pPr>
              <w:rPr>
                <w:b/>
              </w:rPr>
            </w:pPr>
            <w:r w:rsidRPr="00EA0AA8">
              <w:rPr>
                <w:b/>
              </w:rPr>
              <w:lastRenderedPageBreak/>
              <w:t>Onderdeel</w:t>
            </w:r>
          </w:p>
        </w:tc>
        <w:tc>
          <w:tcPr>
            <w:tcW w:w="955" w:type="dxa"/>
            <w:tcBorders>
              <w:top w:val="single" w:sz="12" w:space="0" w:color="auto"/>
              <w:bottom w:val="single" w:sz="12" w:space="0" w:color="auto"/>
              <w:right w:val="single" w:sz="12" w:space="0" w:color="auto"/>
            </w:tcBorders>
            <w:shd w:val="clear" w:color="auto" w:fill="D9D9D9"/>
          </w:tcPr>
          <w:p w14:paraId="12E28963" w14:textId="77777777" w:rsidR="009A513F" w:rsidRPr="00EA0AA8" w:rsidRDefault="009A513F" w:rsidP="00193F8A">
            <w:pPr>
              <w:rPr>
                <w:b/>
              </w:rPr>
            </w:pPr>
            <w:r w:rsidRPr="00EA0AA8">
              <w:rPr>
                <w:b/>
              </w:rPr>
              <w:t>Score</w:t>
            </w:r>
          </w:p>
        </w:tc>
      </w:tr>
      <w:tr w:rsidR="009A513F" w14:paraId="12E28967" w14:textId="77777777" w:rsidTr="00F313B0">
        <w:tc>
          <w:tcPr>
            <w:tcW w:w="6912" w:type="dxa"/>
            <w:tcBorders>
              <w:top w:val="single" w:sz="12" w:space="0" w:color="auto"/>
              <w:left w:val="single" w:sz="12" w:space="0" w:color="auto"/>
            </w:tcBorders>
            <w:shd w:val="clear" w:color="auto" w:fill="auto"/>
          </w:tcPr>
          <w:p w14:paraId="12E28965" w14:textId="77777777" w:rsidR="009A513F" w:rsidRDefault="00DE2DA8" w:rsidP="00193F8A">
            <w:r>
              <w:t>Kernmandaat / Prioriteiten / Mission Creep</w:t>
            </w:r>
          </w:p>
        </w:tc>
        <w:tc>
          <w:tcPr>
            <w:tcW w:w="955" w:type="dxa"/>
            <w:tcBorders>
              <w:top w:val="single" w:sz="12" w:space="0" w:color="auto"/>
              <w:right w:val="single" w:sz="12" w:space="0" w:color="auto"/>
            </w:tcBorders>
            <w:shd w:val="clear" w:color="auto" w:fill="auto"/>
          </w:tcPr>
          <w:p w14:paraId="12E28966" w14:textId="77777777" w:rsidR="009A513F" w:rsidRDefault="00DE2DA8" w:rsidP="00193F8A">
            <w:r>
              <w:t>3</w:t>
            </w:r>
          </w:p>
        </w:tc>
      </w:tr>
      <w:tr w:rsidR="009A513F" w14:paraId="12E2896A" w14:textId="77777777" w:rsidTr="00F313B0">
        <w:tc>
          <w:tcPr>
            <w:tcW w:w="6912" w:type="dxa"/>
            <w:tcBorders>
              <w:left w:val="single" w:sz="12" w:space="0" w:color="auto"/>
            </w:tcBorders>
            <w:shd w:val="clear" w:color="auto" w:fill="auto"/>
          </w:tcPr>
          <w:p w14:paraId="12E28968" w14:textId="77777777" w:rsidR="009A513F" w:rsidRDefault="00DE2DA8" w:rsidP="00193F8A">
            <w:r>
              <w:t>Beleidsstrategie</w:t>
            </w:r>
          </w:p>
        </w:tc>
        <w:tc>
          <w:tcPr>
            <w:tcW w:w="955" w:type="dxa"/>
            <w:tcBorders>
              <w:right w:val="single" w:sz="12" w:space="0" w:color="auto"/>
            </w:tcBorders>
            <w:shd w:val="clear" w:color="auto" w:fill="auto"/>
          </w:tcPr>
          <w:p w14:paraId="12E28969" w14:textId="77777777" w:rsidR="009A513F" w:rsidRDefault="00586B96" w:rsidP="00193F8A">
            <w:r>
              <w:t>4</w:t>
            </w:r>
          </w:p>
        </w:tc>
      </w:tr>
      <w:tr w:rsidR="009A513F" w14:paraId="12E2896D" w14:textId="77777777" w:rsidTr="00A13499">
        <w:tc>
          <w:tcPr>
            <w:tcW w:w="6912" w:type="dxa"/>
            <w:tcBorders>
              <w:left w:val="single" w:sz="12" w:space="0" w:color="auto"/>
              <w:bottom w:val="single" w:sz="4" w:space="0" w:color="auto"/>
            </w:tcBorders>
            <w:shd w:val="clear" w:color="auto" w:fill="auto"/>
          </w:tcPr>
          <w:p w14:paraId="12E2896B" w14:textId="77777777" w:rsidR="009A513F" w:rsidRPr="00470236" w:rsidRDefault="00DE2DA8" w:rsidP="00193F8A">
            <w:r w:rsidRPr="00470236">
              <w:t>Theory of Change</w:t>
            </w:r>
          </w:p>
        </w:tc>
        <w:tc>
          <w:tcPr>
            <w:tcW w:w="955" w:type="dxa"/>
            <w:tcBorders>
              <w:right w:val="single" w:sz="12" w:space="0" w:color="auto"/>
            </w:tcBorders>
            <w:shd w:val="clear" w:color="auto" w:fill="auto"/>
          </w:tcPr>
          <w:p w14:paraId="12E2896C" w14:textId="77777777" w:rsidR="009A513F" w:rsidRDefault="001C1B53" w:rsidP="00193F8A">
            <w:r>
              <w:t>-</w:t>
            </w:r>
          </w:p>
        </w:tc>
      </w:tr>
      <w:tr w:rsidR="009A513F" w14:paraId="12E28970" w14:textId="77777777" w:rsidTr="00A13499">
        <w:tc>
          <w:tcPr>
            <w:tcW w:w="6912" w:type="dxa"/>
            <w:tcBorders>
              <w:top w:val="single" w:sz="4" w:space="0" w:color="auto"/>
              <w:left w:val="single" w:sz="12" w:space="0" w:color="auto"/>
              <w:bottom w:val="single" w:sz="4" w:space="0" w:color="auto"/>
            </w:tcBorders>
            <w:shd w:val="clear" w:color="auto" w:fill="auto"/>
          </w:tcPr>
          <w:p w14:paraId="12E2896E" w14:textId="77777777" w:rsidR="009A513F" w:rsidRDefault="00DE2DA8" w:rsidP="00193F8A">
            <w:r>
              <w:t>Aansluiting Nationaal beleid / Armoedestrategie</w:t>
            </w:r>
          </w:p>
        </w:tc>
        <w:tc>
          <w:tcPr>
            <w:tcW w:w="955" w:type="dxa"/>
            <w:tcBorders>
              <w:bottom w:val="single" w:sz="4" w:space="0" w:color="auto"/>
              <w:right w:val="single" w:sz="12" w:space="0" w:color="auto"/>
            </w:tcBorders>
            <w:shd w:val="clear" w:color="auto" w:fill="auto"/>
          </w:tcPr>
          <w:p w14:paraId="12E2896F" w14:textId="77777777" w:rsidR="009A513F" w:rsidRDefault="0084449E" w:rsidP="00193F8A">
            <w:r>
              <w:t>4</w:t>
            </w:r>
          </w:p>
        </w:tc>
      </w:tr>
      <w:tr w:rsidR="002A310E" w14:paraId="12E28973" w14:textId="77777777" w:rsidTr="00180CBA">
        <w:tc>
          <w:tcPr>
            <w:tcW w:w="6912" w:type="dxa"/>
            <w:tcBorders>
              <w:top w:val="single" w:sz="4" w:space="0" w:color="auto"/>
              <w:left w:val="single" w:sz="12" w:space="0" w:color="auto"/>
              <w:bottom w:val="single" w:sz="4" w:space="0" w:color="auto"/>
            </w:tcBorders>
            <w:shd w:val="clear" w:color="auto" w:fill="auto"/>
          </w:tcPr>
          <w:p w14:paraId="12E28971" w14:textId="77777777" w:rsidR="002A310E" w:rsidRDefault="005F3FB6" w:rsidP="00193F8A">
            <w:r>
              <w:t>Verantwoording</w:t>
            </w:r>
            <w:r w:rsidR="00BA3472">
              <w:t xml:space="preserve"> </w:t>
            </w:r>
          </w:p>
        </w:tc>
        <w:tc>
          <w:tcPr>
            <w:tcW w:w="955" w:type="dxa"/>
            <w:tcBorders>
              <w:bottom w:val="single" w:sz="4" w:space="0" w:color="auto"/>
              <w:right w:val="single" w:sz="12" w:space="0" w:color="auto"/>
            </w:tcBorders>
            <w:shd w:val="clear" w:color="auto" w:fill="auto"/>
          </w:tcPr>
          <w:p w14:paraId="12E28972" w14:textId="77777777" w:rsidR="002A310E" w:rsidRDefault="002A310E" w:rsidP="00193F8A">
            <w:r w:rsidRPr="0035586B">
              <w:t>3</w:t>
            </w:r>
          </w:p>
        </w:tc>
      </w:tr>
      <w:tr w:rsidR="00BA3472" w14:paraId="12E28976" w14:textId="77777777" w:rsidTr="00AF7691">
        <w:tc>
          <w:tcPr>
            <w:tcW w:w="6912" w:type="dxa"/>
            <w:tcBorders>
              <w:top w:val="single" w:sz="4" w:space="0" w:color="auto"/>
              <w:left w:val="single" w:sz="12" w:space="0" w:color="auto"/>
              <w:bottom w:val="single" w:sz="12" w:space="0" w:color="auto"/>
            </w:tcBorders>
            <w:shd w:val="clear" w:color="auto" w:fill="auto"/>
          </w:tcPr>
          <w:p w14:paraId="12E28974" w14:textId="7AEBAC40" w:rsidR="00BA3472" w:rsidRDefault="00BA3472" w:rsidP="00FA14B4">
            <w:r>
              <w:t xml:space="preserve">Aanspreekbaarheid </w:t>
            </w:r>
            <w:r w:rsidR="003E0DD1">
              <w:t>voor overige belanghebbenden</w:t>
            </w:r>
          </w:p>
        </w:tc>
        <w:tc>
          <w:tcPr>
            <w:tcW w:w="955" w:type="dxa"/>
            <w:tcBorders>
              <w:bottom w:val="single" w:sz="12" w:space="0" w:color="auto"/>
              <w:right w:val="single" w:sz="12" w:space="0" w:color="auto"/>
            </w:tcBorders>
            <w:shd w:val="clear" w:color="auto" w:fill="auto"/>
          </w:tcPr>
          <w:p w14:paraId="12E28975" w14:textId="49C2FD66" w:rsidR="00BA3472" w:rsidRDefault="00FA14B4" w:rsidP="00193F8A">
            <w:r>
              <w:t>4</w:t>
            </w:r>
          </w:p>
        </w:tc>
      </w:tr>
      <w:tr w:rsidR="009A513F" w14:paraId="12E28979" w14:textId="77777777" w:rsidTr="00B06CE6">
        <w:tc>
          <w:tcPr>
            <w:tcW w:w="6912" w:type="dxa"/>
            <w:tcBorders>
              <w:top w:val="single" w:sz="12" w:space="0" w:color="auto"/>
              <w:left w:val="single" w:sz="12" w:space="0" w:color="auto"/>
              <w:bottom w:val="single" w:sz="12" w:space="0" w:color="auto"/>
            </w:tcBorders>
            <w:shd w:val="clear" w:color="auto" w:fill="D0CECE"/>
          </w:tcPr>
          <w:p w14:paraId="12E28977" w14:textId="77777777" w:rsidR="009A513F" w:rsidRPr="00EA0AA8" w:rsidRDefault="009A513F" w:rsidP="00193F8A">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2E28978" w14:textId="0077C6CF" w:rsidR="009A513F" w:rsidRPr="00EA0AA8" w:rsidRDefault="00FA14B4" w:rsidP="00193F8A">
            <w:pPr>
              <w:rPr>
                <w:b/>
              </w:rPr>
            </w:pPr>
            <w:r>
              <w:rPr>
                <w:b/>
              </w:rPr>
              <w:t>4</w:t>
            </w:r>
          </w:p>
        </w:tc>
      </w:tr>
    </w:tbl>
    <w:p w14:paraId="72BF4950" w14:textId="77777777" w:rsidR="00E35711" w:rsidRDefault="00E35711" w:rsidP="00193F8A"/>
    <w:p w14:paraId="12E2897A" w14:textId="1A874EC1" w:rsidR="00CD5427" w:rsidRDefault="00326699" w:rsidP="00D24162">
      <w:pPr>
        <w:ind w:firstLine="227"/>
      </w:pPr>
      <w:r w:rsidRPr="00917719">
        <w:t>Verandering</w:t>
      </w:r>
      <w:r w:rsidR="009A513F" w:rsidRPr="00917719">
        <w:t xml:space="preserve"> sinds 2015</w:t>
      </w:r>
      <w:r w:rsidRPr="00917719">
        <w:t>:</w:t>
      </w:r>
      <w:r w:rsidR="00A421B8">
        <w:t xml:space="preserve"> neutraal</w:t>
      </w:r>
      <w:r w:rsidRPr="00917719">
        <w:t xml:space="preserve"> </w:t>
      </w:r>
      <w:r w:rsidR="00917719" w:rsidRPr="00917719">
        <w:sym w:font="Wingdings" w:char="F0E8"/>
      </w:r>
      <w:r w:rsidRPr="00917719">
        <w:t xml:space="preserve"> </w:t>
      </w:r>
    </w:p>
    <w:p w14:paraId="6DA133B2" w14:textId="77777777" w:rsidR="00D24162" w:rsidRPr="00917719" w:rsidRDefault="00D24162" w:rsidP="00D24162">
      <w:pPr>
        <w:ind w:firstLine="227"/>
      </w:pPr>
    </w:p>
    <w:p w14:paraId="12E2897B" w14:textId="58ECF7AE" w:rsidR="00CD5427" w:rsidRPr="0030522A" w:rsidRDefault="00B3437D" w:rsidP="00B3437D">
      <w:pPr>
        <w:pStyle w:val="Heading2"/>
        <w:tabs>
          <w:tab w:val="left" w:pos="-1162"/>
          <w:tab w:val="left" w:pos="0"/>
        </w:tabs>
        <w:spacing w:line="240" w:lineRule="atLeast"/>
        <w:ind w:left="-1162"/>
      </w:pPr>
      <w:bookmarkStart w:id="41" w:name="_Toc491437686"/>
      <w:r>
        <w:t>4.2</w:t>
      </w:r>
      <w:r w:rsidR="005079E1">
        <w:tab/>
      </w:r>
      <w:r w:rsidR="00032C0E" w:rsidRPr="0030522A">
        <w:t>Resultaatgerichtheid en transparantie</w:t>
      </w:r>
      <w:bookmarkEnd w:id="41"/>
    </w:p>
    <w:p w14:paraId="12E2897C" w14:textId="5B22607A" w:rsidR="0037223B" w:rsidRPr="0030522A" w:rsidRDefault="00BE1687" w:rsidP="00193F8A">
      <w:r w:rsidRPr="0030522A">
        <w:t xml:space="preserve">Via het </w:t>
      </w:r>
      <w:r w:rsidRPr="0030522A">
        <w:rPr>
          <w:i/>
        </w:rPr>
        <w:t xml:space="preserve">Progress </w:t>
      </w:r>
      <w:r w:rsidR="00027192" w:rsidRPr="0030522A">
        <w:rPr>
          <w:i/>
        </w:rPr>
        <w:t xml:space="preserve">Monitoring Report </w:t>
      </w:r>
      <w:r w:rsidR="00027192" w:rsidRPr="0030522A">
        <w:t xml:space="preserve">(PMR) werkt de </w:t>
      </w:r>
      <w:r w:rsidR="009D1723">
        <w:t>Bank</w:t>
      </w:r>
      <w:r w:rsidR="00027192" w:rsidRPr="0030522A">
        <w:t xml:space="preserve"> met </w:t>
      </w:r>
      <w:r w:rsidR="00027192" w:rsidRPr="0030522A">
        <w:rPr>
          <w:i/>
        </w:rPr>
        <w:t xml:space="preserve">Results Based Management </w:t>
      </w:r>
      <w:r w:rsidR="00027192" w:rsidRPr="0030522A">
        <w:t xml:space="preserve">en </w:t>
      </w:r>
      <w:r w:rsidR="00027192" w:rsidRPr="0030522A">
        <w:rPr>
          <w:i/>
        </w:rPr>
        <w:t>Result Based Budgeting</w:t>
      </w:r>
      <w:r w:rsidR="0030522A">
        <w:rPr>
          <w:i/>
        </w:rPr>
        <w:t xml:space="preserve"> </w:t>
      </w:r>
      <w:r w:rsidR="0030522A">
        <w:t>(RBB)</w:t>
      </w:r>
      <w:r w:rsidR="00A90510" w:rsidRPr="0030522A">
        <w:rPr>
          <w:i/>
        </w:rPr>
        <w:t xml:space="preserve">, </w:t>
      </w:r>
      <w:r w:rsidR="00A90510" w:rsidRPr="0030522A">
        <w:t>zowel op het hoofdkantoor als op de landenkantoren</w:t>
      </w:r>
      <w:r w:rsidR="00027192" w:rsidRPr="0030522A">
        <w:rPr>
          <w:i/>
        </w:rPr>
        <w:t xml:space="preserve">. </w:t>
      </w:r>
      <w:r w:rsidR="00027192" w:rsidRPr="0030522A">
        <w:t xml:space="preserve">Het </w:t>
      </w:r>
      <w:r w:rsidR="002560C9" w:rsidRPr="0030522A">
        <w:t xml:space="preserve">2016 </w:t>
      </w:r>
      <w:r w:rsidR="002560C9" w:rsidRPr="00475650">
        <w:rPr>
          <w:i/>
        </w:rPr>
        <w:t>Work Program and Budget</w:t>
      </w:r>
      <w:r w:rsidR="002560C9" w:rsidRPr="0030522A">
        <w:t xml:space="preserve"> heeft de link tussen </w:t>
      </w:r>
      <w:r w:rsidR="00475650">
        <w:t xml:space="preserve">de strategie van de </w:t>
      </w:r>
      <w:r w:rsidR="009D1723">
        <w:t>Bank</w:t>
      </w:r>
      <w:r w:rsidR="002560C9" w:rsidRPr="0030522A">
        <w:rPr>
          <w:i/>
        </w:rPr>
        <w:t xml:space="preserve"> </w:t>
      </w:r>
      <w:r w:rsidR="002560C9" w:rsidRPr="0030522A">
        <w:t xml:space="preserve">en </w:t>
      </w:r>
      <w:r w:rsidR="00027192" w:rsidRPr="0030522A">
        <w:t>RBB</w:t>
      </w:r>
      <w:r w:rsidR="002560C9" w:rsidRPr="0030522A">
        <w:t xml:space="preserve"> versterkt. </w:t>
      </w:r>
      <w:r w:rsidR="00E86D09">
        <w:t>Het</w:t>
      </w:r>
      <w:r w:rsidR="0030522A">
        <w:rPr>
          <w:i/>
        </w:rPr>
        <w:t xml:space="preserve"> </w:t>
      </w:r>
      <w:r w:rsidR="0030522A">
        <w:t>RBB</w:t>
      </w:r>
      <w:r w:rsidR="003E0062" w:rsidRPr="0030522A">
        <w:rPr>
          <w:i/>
        </w:rPr>
        <w:t xml:space="preserve"> </w:t>
      </w:r>
      <w:r w:rsidR="003E0062" w:rsidRPr="0030522A">
        <w:t xml:space="preserve">Framework </w:t>
      </w:r>
      <w:r w:rsidR="00E86D09">
        <w:t>draagt zorg voor de integratie van RBB in de gehele begrotingscyclus. Het Framework zal verder worden verscherpt g</w:t>
      </w:r>
      <w:r w:rsidR="003E0062" w:rsidRPr="0030522A">
        <w:t>edurende 2017</w:t>
      </w:r>
      <w:r w:rsidR="00E86D09">
        <w:t xml:space="preserve"> met onder andere een verbetering van de link naar de kapitaalbudgettering</w:t>
      </w:r>
      <w:r w:rsidR="001F0FF5">
        <w:t>.</w:t>
      </w:r>
      <w:r w:rsidR="008936BD" w:rsidRPr="0030522A">
        <w:t xml:space="preserve"> </w:t>
      </w:r>
    </w:p>
    <w:p w14:paraId="12E2897D" w14:textId="77777777" w:rsidR="0037223B" w:rsidRDefault="0037223B" w:rsidP="00193F8A"/>
    <w:p w14:paraId="12E2897E" w14:textId="36B1F2C9" w:rsidR="0030522A" w:rsidRPr="004820A2" w:rsidRDefault="00BC0978" w:rsidP="00193F8A">
      <w:r w:rsidRPr="004820A2">
        <w:t xml:space="preserve">In 2016 heeft de IDB haar </w:t>
      </w:r>
      <w:r w:rsidRPr="004820A2">
        <w:rPr>
          <w:i/>
        </w:rPr>
        <w:t>Corporate Results Framework</w:t>
      </w:r>
      <w:r w:rsidRPr="004820A2">
        <w:t xml:space="preserve"> vernieuwd, op basis </w:t>
      </w:r>
      <w:r w:rsidR="009E3B0E">
        <w:t>waar</w:t>
      </w:r>
      <w:r w:rsidRPr="004820A2">
        <w:t xml:space="preserve">van jaarlijks wordt gerapporteerd in </w:t>
      </w:r>
      <w:r w:rsidR="009E3B0E">
        <w:t>het</w:t>
      </w:r>
      <w:r w:rsidRPr="004820A2">
        <w:t xml:space="preserve"> </w:t>
      </w:r>
      <w:r w:rsidRPr="004820A2">
        <w:rPr>
          <w:i/>
        </w:rPr>
        <w:t>Development Effectiveness Overview</w:t>
      </w:r>
      <w:r w:rsidRPr="004820A2">
        <w:t xml:space="preserve">. Het </w:t>
      </w:r>
      <w:r w:rsidR="004820A2">
        <w:t xml:space="preserve">uitgebreide </w:t>
      </w:r>
      <w:r w:rsidR="00F75F78">
        <w:t>F</w:t>
      </w:r>
      <w:r w:rsidRPr="004820A2">
        <w:t xml:space="preserve">ramework is gebaseerd op drie regionale uitdagingen, drie dwarsdoorsnijdende thema’s en zes leidende operationele principes. Het </w:t>
      </w:r>
      <w:r w:rsidR="004820A2" w:rsidRPr="004820A2">
        <w:t>Framework</w:t>
      </w:r>
      <w:r w:rsidRPr="004820A2">
        <w:t xml:space="preserve"> voorziet in indicatoren over de regionale context, nationale ontwikkelingsresultaten</w:t>
      </w:r>
      <w:r w:rsidR="009E3B0E">
        <w:t xml:space="preserve"> en</w:t>
      </w:r>
      <w:r w:rsidRPr="004820A2">
        <w:t xml:space="preserve"> de IDB Groep prestaties</w:t>
      </w:r>
      <w:r w:rsidR="001F0FF5">
        <w:t>.</w:t>
      </w:r>
      <w:r w:rsidRPr="004820A2">
        <w:t xml:space="preserve"> </w:t>
      </w:r>
      <w:r w:rsidR="00E17F72" w:rsidRPr="004820A2">
        <w:t xml:space="preserve">In het rapport wordt een onderscheid gemaakt tussen ‘wat’ de </w:t>
      </w:r>
      <w:r w:rsidR="009D1723">
        <w:t>Bank</w:t>
      </w:r>
      <w:r w:rsidR="00E17F72" w:rsidRPr="004820A2">
        <w:t xml:space="preserve"> heeft bereikt</w:t>
      </w:r>
      <w:r w:rsidR="00BF249F" w:rsidRPr="004820A2">
        <w:t>’</w:t>
      </w:r>
      <w:r w:rsidR="00E17F72" w:rsidRPr="004820A2">
        <w:t xml:space="preserve"> en ‘</w:t>
      </w:r>
      <w:r w:rsidR="00422424" w:rsidRPr="004820A2">
        <w:t>met welke producten’</w:t>
      </w:r>
      <w:r w:rsidR="00E17F72" w:rsidRPr="004820A2">
        <w:t xml:space="preserve"> de </w:t>
      </w:r>
      <w:r w:rsidR="009D1723">
        <w:t>Bank</w:t>
      </w:r>
      <w:r w:rsidR="00E17F72" w:rsidRPr="004820A2">
        <w:t xml:space="preserve"> dit heeft bereikt. </w:t>
      </w:r>
      <w:r w:rsidR="0030522A" w:rsidRPr="004820A2">
        <w:t xml:space="preserve">Deze informatie volgt mede uit </w:t>
      </w:r>
      <w:r w:rsidR="0030522A" w:rsidRPr="004820A2">
        <w:rPr>
          <w:i/>
        </w:rPr>
        <w:t xml:space="preserve">lessons learned </w:t>
      </w:r>
      <w:r w:rsidR="0030522A" w:rsidRPr="004820A2">
        <w:t xml:space="preserve">van de </w:t>
      </w:r>
      <w:r w:rsidR="0030522A" w:rsidRPr="004820A2">
        <w:rPr>
          <w:i/>
        </w:rPr>
        <w:t>Project Completion Reports</w:t>
      </w:r>
      <w:r w:rsidR="00477427" w:rsidRPr="004820A2">
        <w:rPr>
          <w:i/>
        </w:rPr>
        <w:t xml:space="preserve">, </w:t>
      </w:r>
      <w:r w:rsidR="00477427" w:rsidRPr="004820A2">
        <w:t>welke overzichtelijk worden gepubliceerd op de website.</w:t>
      </w:r>
    </w:p>
    <w:p w14:paraId="12E2897F" w14:textId="77777777" w:rsidR="00B9725F" w:rsidRPr="0030522A" w:rsidRDefault="00B9725F" w:rsidP="00193F8A"/>
    <w:p w14:paraId="12E28980" w14:textId="362A2792" w:rsidR="00834B59" w:rsidRPr="0030522A" w:rsidRDefault="00116AEB" w:rsidP="00193F8A">
      <w:r w:rsidRPr="0030522A">
        <w:t xml:space="preserve">De IDB heeft zich in 2011 aangesloten bij het </w:t>
      </w:r>
      <w:r w:rsidRPr="0030522A">
        <w:rPr>
          <w:i/>
        </w:rPr>
        <w:t xml:space="preserve">International Aid Transparency Initiative </w:t>
      </w:r>
      <w:r w:rsidR="007324DF" w:rsidRPr="0030522A">
        <w:t xml:space="preserve">(IATI). Bij de </w:t>
      </w:r>
      <w:r w:rsidR="007324DF" w:rsidRPr="0030522A">
        <w:rPr>
          <w:i/>
        </w:rPr>
        <w:t>Aid Transparency Index</w:t>
      </w:r>
      <w:r w:rsidRPr="0030522A">
        <w:t xml:space="preserve"> </w:t>
      </w:r>
      <w:r w:rsidR="007324DF" w:rsidRPr="0030522A">
        <w:t xml:space="preserve">staat de IDB op </w:t>
      </w:r>
      <w:r w:rsidR="00834B59" w:rsidRPr="0030522A">
        <w:t>de 7</w:t>
      </w:r>
      <w:r w:rsidR="00834B59" w:rsidRPr="0030522A">
        <w:rPr>
          <w:vertAlign w:val="superscript"/>
        </w:rPr>
        <w:t>e</w:t>
      </w:r>
      <w:r w:rsidR="00834B59" w:rsidRPr="0030522A">
        <w:t xml:space="preserve"> plaats in 2016 met een score van 85,6 op een schaal van 100. Hiermee is de IDB een van </w:t>
      </w:r>
      <w:r w:rsidR="00BF249F" w:rsidRPr="0030522A">
        <w:t xml:space="preserve">de </w:t>
      </w:r>
      <w:r w:rsidR="00834B59" w:rsidRPr="0030522A">
        <w:t>organisaties die de doelstelling</w:t>
      </w:r>
      <w:r w:rsidR="00BF249F" w:rsidRPr="0030522A">
        <w:t xml:space="preserve"> om</w:t>
      </w:r>
      <w:r w:rsidR="00834B59" w:rsidRPr="0030522A">
        <w:t xml:space="preserve"> de ontwikkelingsstromen transparant te maken</w:t>
      </w:r>
      <w:r w:rsidR="00BF249F" w:rsidRPr="0030522A">
        <w:t>, gemaakt bij de 4</w:t>
      </w:r>
      <w:r w:rsidR="00BF249F" w:rsidRPr="0030522A">
        <w:rPr>
          <w:vertAlign w:val="superscript"/>
        </w:rPr>
        <w:t>e</w:t>
      </w:r>
      <w:r w:rsidR="00BF249F" w:rsidRPr="0030522A">
        <w:t xml:space="preserve"> High Level Forum over </w:t>
      </w:r>
      <w:r w:rsidR="00BF249F" w:rsidRPr="0030522A">
        <w:rPr>
          <w:i/>
        </w:rPr>
        <w:t xml:space="preserve">Aid Effectiveness </w:t>
      </w:r>
      <w:r w:rsidR="00BF249F" w:rsidRPr="0030522A">
        <w:t>in Busan</w:t>
      </w:r>
      <w:r w:rsidR="00C26B3A">
        <w:t xml:space="preserve"> </w:t>
      </w:r>
      <w:r w:rsidR="00BF249F" w:rsidRPr="0030522A">
        <w:t>in 2015</w:t>
      </w:r>
      <w:r w:rsidR="00834B59" w:rsidRPr="0030522A">
        <w:t>, heeft behaald</w:t>
      </w:r>
      <w:r w:rsidR="001F0FF5">
        <w:t>.</w:t>
      </w:r>
      <w:r w:rsidR="00834B59" w:rsidRPr="0030522A">
        <w:t xml:space="preserve"> </w:t>
      </w:r>
    </w:p>
    <w:p w14:paraId="12E28981" w14:textId="77777777" w:rsidR="00E20A86" w:rsidRDefault="00E20A86" w:rsidP="00193F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E20A86" w:rsidRPr="00EA0AA8" w14:paraId="12E28984" w14:textId="77777777" w:rsidTr="00B06CE6">
        <w:tc>
          <w:tcPr>
            <w:tcW w:w="6912" w:type="dxa"/>
            <w:tcBorders>
              <w:top w:val="single" w:sz="12" w:space="0" w:color="auto"/>
              <w:left w:val="single" w:sz="12" w:space="0" w:color="auto"/>
              <w:bottom w:val="single" w:sz="12" w:space="0" w:color="auto"/>
            </w:tcBorders>
            <w:shd w:val="clear" w:color="auto" w:fill="D0CECE"/>
          </w:tcPr>
          <w:p w14:paraId="12E28982" w14:textId="77777777" w:rsidR="00E20A86" w:rsidRPr="00EA0AA8" w:rsidRDefault="00E20A86" w:rsidP="00193F8A">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12E28983" w14:textId="77777777" w:rsidR="00E20A86" w:rsidRPr="00EA0AA8" w:rsidRDefault="00E20A86" w:rsidP="00193F8A">
            <w:pPr>
              <w:rPr>
                <w:b/>
              </w:rPr>
            </w:pPr>
            <w:r w:rsidRPr="00EA0AA8">
              <w:rPr>
                <w:b/>
              </w:rPr>
              <w:t>Score</w:t>
            </w:r>
          </w:p>
        </w:tc>
      </w:tr>
      <w:tr w:rsidR="00E20A86" w14:paraId="12E28987" w14:textId="77777777" w:rsidTr="00382AE3">
        <w:tc>
          <w:tcPr>
            <w:tcW w:w="6912" w:type="dxa"/>
            <w:tcBorders>
              <w:top w:val="single" w:sz="12" w:space="0" w:color="auto"/>
              <w:left w:val="single" w:sz="12" w:space="0" w:color="auto"/>
            </w:tcBorders>
            <w:shd w:val="clear" w:color="auto" w:fill="auto"/>
          </w:tcPr>
          <w:p w14:paraId="12E28985" w14:textId="77777777" w:rsidR="00E20A86" w:rsidRDefault="00E20A86" w:rsidP="00193F8A">
            <w:r>
              <w:t>RBM en RBB</w:t>
            </w:r>
          </w:p>
        </w:tc>
        <w:tc>
          <w:tcPr>
            <w:tcW w:w="955" w:type="dxa"/>
            <w:tcBorders>
              <w:top w:val="single" w:sz="12" w:space="0" w:color="auto"/>
              <w:right w:val="single" w:sz="12" w:space="0" w:color="auto"/>
            </w:tcBorders>
            <w:shd w:val="clear" w:color="auto" w:fill="auto"/>
          </w:tcPr>
          <w:p w14:paraId="12E28986" w14:textId="77777777" w:rsidR="00E20A86" w:rsidRDefault="00BF249F" w:rsidP="00193F8A">
            <w:r>
              <w:t>3</w:t>
            </w:r>
          </w:p>
        </w:tc>
      </w:tr>
      <w:tr w:rsidR="00E20A86" w14:paraId="12E2898A" w14:textId="77777777" w:rsidTr="00382AE3">
        <w:tc>
          <w:tcPr>
            <w:tcW w:w="6912" w:type="dxa"/>
            <w:tcBorders>
              <w:left w:val="single" w:sz="12" w:space="0" w:color="auto"/>
            </w:tcBorders>
            <w:shd w:val="clear" w:color="auto" w:fill="auto"/>
          </w:tcPr>
          <w:p w14:paraId="12E28988" w14:textId="77777777" w:rsidR="00E20A86" w:rsidRDefault="00E20A86" w:rsidP="00193F8A">
            <w:r>
              <w:t>Inzichtelijk maken resultaten</w:t>
            </w:r>
          </w:p>
        </w:tc>
        <w:tc>
          <w:tcPr>
            <w:tcW w:w="955" w:type="dxa"/>
            <w:tcBorders>
              <w:right w:val="single" w:sz="12" w:space="0" w:color="auto"/>
            </w:tcBorders>
            <w:shd w:val="clear" w:color="auto" w:fill="auto"/>
          </w:tcPr>
          <w:p w14:paraId="12E28989" w14:textId="77777777" w:rsidR="00E20A86" w:rsidRDefault="00BC0978" w:rsidP="00193F8A">
            <w:r>
              <w:t>3</w:t>
            </w:r>
          </w:p>
        </w:tc>
      </w:tr>
      <w:tr w:rsidR="00E20A86" w14:paraId="12E2898D" w14:textId="77777777" w:rsidTr="00382AE3">
        <w:tc>
          <w:tcPr>
            <w:tcW w:w="6912" w:type="dxa"/>
            <w:tcBorders>
              <w:left w:val="single" w:sz="12" w:space="0" w:color="auto"/>
            </w:tcBorders>
            <w:shd w:val="clear" w:color="auto" w:fill="auto"/>
          </w:tcPr>
          <w:p w14:paraId="12E2898B" w14:textId="77777777" w:rsidR="00E20A86" w:rsidRDefault="00E20A86" w:rsidP="00193F8A">
            <w:r>
              <w:t>Inzichtelijk maken allocatie van middelen (o.a. IATI)</w:t>
            </w:r>
          </w:p>
        </w:tc>
        <w:tc>
          <w:tcPr>
            <w:tcW w:w="955" w:type="dxa"/>
            <w:tcBorders>
              <w:right w:val="single" w:sz="12" w:space="0" w:color="auto"/>
            </w:tcBorders>
            <w:shd w:val="clear" w:color="auto" w:fill="auto"/>
          </w:tcPr>
          <w:p w14:paraId="12E2898C" w14:textId="77777777" w:rsidR="00E20A86" w:rsidRDefault="00B9725F" w:rsidP="00193F8A">
            <w:r>
              <w:t>4</w:t>
            </w:r>
          </w:p>
        </w:tc>
      </w:tr>
      <w:tr w:rsidR="00E20A86" w14:paraId="12E28990" w14:textId="77777777" w:rsidTr="00382AE3">
        <w:tc>
          <w:tcPr>
            <w:tcW w:w="6912" w:type="dxa"/>
            <w:tcBorders>
              <w:left w:val="single" w:sz="12" w:space="0" w:color="auto"/>
              <w:bottom w:val="single" w:sz="12" w:space="0" w:color="auto"/>
            </w:tcBorders>
            <w:shd w:val="clear" w:color="auto" w:fill="auto"/>
          </w:tcPr>
          <w:p w14:paraId="12E2898E" w14:textId="77777777" w:rsidR="00E20A86" w:rsidRDefault="00E20A86" w:rsidP="00193F8A">
            <w:r>
              <w:t>Communicatie over resultaten</w:t>
            </w:r>
          </w:p>
        </w:tc>
        <w:tc>
          <w:tcPr>
            <w:tcW w:w="955" w:type="dxa"/>
            <w:tcBorders>
              <w:bottom w:val="single" w:sz="12" w:space="0" w:color="auto"/>
              <w:right w:val="single" w:sz="12" w:space="0" w:color="auto"/>
            </w:tcBorders>
            <w:shd w:val="clear" w:color="auto" w:fill="auto"/>
          </w:tcPr>
          <w:p w14:paraId="12E2898F" w14:textId="77777777" w:rsidR="00E20A86" w:rsidRDefault="00BF249F" w:rsidP="00193F8A">
            <w:r>
              <w:t>3</w:t>
            </w:r>
          </w:p>
        </w:tc>
      </w:tr>
      <w:tr w:rsidR="00E20A86" w:rsidRPr="00EA0AA8" w14:paraId="12E28993" w14:textId="77777777" w:rsidTr="00B06CE6">
        <w:tc>
          <w:tcPr>
            <w:tcW w:w="6912" w:type="dxa"/>
            <w:tcBorders>
              <w:top w:val="single" w:sz="12" w:space="0" w:color="auto"/>
              <w:left w:val="single" w:sz="12" w:space="0" w:color="auto"/>
              <w:bottom w:val="single" w:sz="12" w:space="0" w:color="auto"/>
            </w:tcBorders>
            <w:shd w:val="clear" w:color="auto" w:fill="D0CECE"/>
          </w:tcPr>
          <w:p w14:paraId="12E28991" w14:textId="77777777" w:rsidR="00E20A86" w:rsidRPr="00EA0AA8" w:rsidRDefault="00E20A86" w:rsidP="00193F8A">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2E28992" w14:textId="77777777" w:rsidR="00E20A86" w:rsidRPr="00EA0AA8" w:rsidRDefault="00BC0978" w:rsidP="00193F8A">
            <w:pPr>
              <w:rPr>
                <w:b/>
              </w:rPr>
            </w:pPr>
            <w:r>
              <w:rPr>
                <w:b/>
              </w:rPr>
              <w:t>3</w:t>
            </w:r>
          </w:p>
        </w:tc>
      </w:tr>
    </w:tbl>
    <w:p w14:paraId="01E232FD" w14:textId="77777777" w:rsidR="00E35711" w:rsidRDefault="00E35711" w:rsidP="00193F8A"/>
    <w:p w14:paraId="12E28995" w14:textId="013E599A" w:rsidR="00EA26EF" w:rsidRDefault="00687998" w:rsidP="00D24162">
      <w:pPr>
        <w:ind w:firstLine="227"/>
      </w:pPr>
      <w:r w:rsidRPr="00193994">
        <w:t>Ver</w:t>
      </w:r>
      <w:r>
        <w:t>andering sinds 2015</w:t>
      </w:r>
      <w:r w:rsidR="003412ED">
        <w:t xml:space="preserve">: </w:t>
      </w:r>
      <w:r w:rsidR="00BC0978">
        <w:t>neutraal</w:t>
      </w:r>
      <w:r w:rsidR="00BA16BD">
        <w:t xml:space="preserve"> = </w:t>
      </w:r>
      <w:r w:rsidR="00BC0978" w:rsidRPr="00917719">
        <w:sym w:font="Wingdings" w:char="F0E8"/>
      </w:r>
    </w:p>
    <w:p w14:paraId="500013BB" w14:textId="77777777" w:rsidR="00D24162" w:rsidRDefault="00D24162" w:rsidP="00D24162">
      <w:pPr>
        <w:ind w:firstLine="227"/>
      </w:pPr>
    </w:p>
    <w:p w14:paraId="12E28996" w14:textId="36EE27C4" w:rsidR="00F366F4" w:rsidRPr="00E35711" w:rsidRDefault="00B3437D" w:rsidP="00B3437D">
      <w:pPr>
        <w:pStyle w:val="Heading2"/>
        <w:tabs>
          <w:tab w:val="left" w:pos="-1162"/>
          <w:tab w:val="left" w:pos="0"/>
        </w:tabs>
        <w:spacing w:line="240" w:lineRule="atLeast"/>
        <w:ind w:left="-1162"/>
      </w:pPr>
      <w:bookmarkStart w:id="42" w:name="_Toc473812725"/>
      <w:bookmarkStart w:id="43" w:name="_Toc491437687"/>
      <w:r>
        <w:t>4.3</w:t>
      </w:r>
      <w:r w:rsidR="005079E1">
        <w:tab/>
      </w:r>
      <w:r w:rsidR="00F366F4" w:rsidRPr="00A13499">
        <w:t>Partnerschappen</w:t>
      </w:r>
      <w:r w:rsidR="00422948">
        <w:t xml:space="preserve"> en samenwerking</w:t>
      </w:r>
      <w:bookmarkEnd w:id="42"/>
      <w:bookmarkEnd w:id="43"/>
    </w:p>
    <w:p w14:paraId="12E28997" w14:textId="1C1B1E25" w:rsidR="001B3ED2" w:rsidRDefault="007D64FD" w:rsidP="00193F8A">
      <w:r>
        <w:t xml:space="preserve">IDB hecht </w:t>
      </w:r>
      <w:r w:rsidR="00F75F78">
        <w:t>groot</w:t>
      </w:r>
      <w:r w:rsidR="00E93301">
        <w:t xml:space="preserve"> belang aan partnerschappen; </w:t>
      </w:r>
      <w:r w:rsidR="00E6175D" w:rsidRPr="00E6175D">
        <w:t xml:space="preserve">het is een van de 6 </w:t>
      </w:r>
      <w:r w:rsidR="00E6175D" w:rsidRPr="00E6175D">
        <w:rPr>
          <w:i/>
        </w:rPr>
        <w:t xml:space="preserve">operating guiding </w:t>
      </w:r>
      <w:r w:rsidR="00E6175D" w:rsidRPr="001B3ED2">
        <w:rPr>
          <w:i/>
        </w:rPr>
        <w:t>principles</w:t>
      </w:r>
      <w:r w:rsidR="00854961">
        <w:t xml:space="preserve"> en partnerschappen </w:t>
      </w:r>
      <w:r w:rsidR="001B3ED2">
        <w:t>worden veelvuldig in</w:t>
      </w:r>
      <w:r w:rsidR="00E6175D" w:rsidRPr="00E6175D">
        <w:t xml:space="preserve">gezet om de impact van projecten te vergroten. </w:t>
      </w:r>
      <w:r w:rsidR="001B3ED2">
        <w:t>De IDB werkt</w:t>
      </w:r>
      <w:r w:rsidR="00E93301">
        <w:t xml:space="preserve"> samen met nationale en lokale overheden, de privat</w:t>
      </w:r>
      <w:r w:rsidR="00991760">
        <w:t xml:space="preserve">e sector, </w:t>
      </w:r>
      <w:r w:rsidR="00E93301">
        <w:rPr>
          <w:i/>
        </w:rPr>
        <w:t>civil society</w:t>
      </w:r>
      <w:r w:rsidR="00991760">
        <w:t xml:space="preserve">, filantropische instellingen en </w:t>
      </w:r>
      <w:r w:rsidR="00E93301">
        <w:t>andere multilaterale ontwikkelings</w:t>
      </w:r>
      <w:r w:rsidR="009D1723">
        <w:t>bank</w:t>
      </w:r>
      <w:r w:rsidR="00E93301">
        <w:t>en</w:t>
      </w:r>
      <w:r w:rsidR="001F0FF5">
        <w:t>.</w:t>
      </w:r>
      <w:r w:rsidR="00E93301">
        <w:t xml:space="preserve"> </w:t>
      </w:r>
    </w:p>
    <w:p w14:paraId="12E28998" w14:textId="77777777" w:rsidR="001B3ED2" w:rsidRDefault="001B3ED2" w:rsidP="00193F8A"/>
    <w:p w14:paraId="12E28999" w14:textId="46877A5B" w:rsidR="00D55EF3" w:rsidRDefault="003A0F2D" w:rsidP="00193F8A">
      <w:r>
        <w:t xml:space="preserve">De </w:t>
      </w:r>
      <w:r w:rsidRPr="00A767D8">
        <w:rPr>
          <w:i/>
        </w:rPr>
        <w:t>Office of Outreach and Partnerships</w:t>
      </w:r>
      <w:r>
        <w:t xml:space="preserve"> is </w:t>
      </w:r>
      <w:r w:rsidR="001B3ED2">
        <w:t>verantwoordelijk</w:t>
      </w:r>
      <w:r>
        <w:t xml:space="preserve"> voor all</w:t>
      </w:r>
      <w:r w:rsidR="001B3ED2">
        <w:t>e partnerschappen vanuit de IDB Groep</w:t>
      </w:r>
      <w:r>
        <w:t xml:space="preserve">. </w:t>
      </w:r>
      <w:r w:rsidR="00F01360">
        <w:t xml:space="preserve">De samenwerking </w:t>
      </w:r>
      <w:r w:rsidR="00BE3637">
        <w:t xml:space="preserve">met andere partijen kan verschillende vormen aannemen, zoals </w:t>
      </w:r>
      <w:r w:rsidR="001B3ED2">
        <w:t>cofinanciering</w:t>
      </w:r>
      <w:r w:rsidR="00F75F78">
        <w:t>, bijdragen aan trustfondsen</w:t>
      </w:r>
      <w:r w:rsidR="000F3CE3">
        <w:t xml:space="preserve"> of</w:t>
      </w:r>
      <w:r w:rsidR="00F01360">
        <w:t xml:space="preserve"> kennisuitwisseling. </w:t>
      </w:r>
      <w:r w:rsidR="000F3CE3">
        <w:t xml:space="preserve">Sinds 2008 </w:t>
      </w:r>
      <w:r w:rsidR="00A767D8">
        <w:t>heeft de IDB samengewerkt met bijna 400 instituties.</w:t>
      </w:r>
      <w:r w:rsidR="00A87B30">
        <w:t xml:space="preserve"> </w:t>
      </w:r>
      <w:r w:rsidR="00F01360">
        <w:t>In 2015 heeft de IDB de samenwerking met 40 ins</w:t>
      </w:r>
      <w:r w:rsidR="00A87B30">
        <w:t xml:space="preserve">tituties formeel vastgelegd en </w:t>
      </w:r>
      <w:r w:rsidR="00AE46DC">
        <w:t xml:space="preserve">zodoende </w:t>
      </w:r>
      <w:r w:rsidR="00A87B30">
        <w:t xml:space="preserve">USD </w:t>
      </w:r>
      <w:r w:rsidR="00F75F78">
        <w:t>3,</w:t>
      </w:r>
      <w:r w:rsidR="00095B22">
        <w:t>78 ml</w:t>
      </w:r>
      <w:r w:rsidR="00F01360">
        <w:t>d</w:t>
      </w:r>
      <w:r w:rsidR="00095B22">
        <w:t>.</w:t>
      </w:r>
      <w:r w:rsidR="00F01360">
        <w:t xml:space="preserve"> aan </w:t>
      </w:r>
      <w:r w:rsidR="001B3ED2">
        <w:t>financiële</w:t>
      </w:r>
      <w:r w:rsidR="00F01360">
        <w:t xml:space="preserve"> bronnen </w:t>
      </w:r>
      <w:r w:rsidR="001B3ED2">
        <w:t>gemobiliseerd</w:t>
      </w:r>
      <w:r w:rsidR="00F01360">
        <w:t xml:space="preserve">. </w:t>
      </w:r>
    </w:p>
    <w:p w14:paraId="12E2899A" w14:textId="77777777" w:rsidR="00A767D8" w:rsidRDefault="007E4EF9" w:rsidP="00193F8A">
      <w:r>
        <w:t xml:space="preserve">Een </w:t>
      </w:r>
      <w:r w:rsidR="006F33F9" w:rsidRPr="004D5FC0">
        <w:rPr>
          <w:i/>
        </w:rPr>
        <w:t>survey</w:t>
      </w:r>
      <w:r>
        <w:t xml:space="preserve"> geeft aan dat 88% van de partners (zeer) tevreden is met de samenwerking met de IDBG. </w:t>
      </w:r>
    </w:p>
    <w:p w14:paraId="12E2899B" w14:textId="77777777" w:rsidR="00A767D8" w:rsidRDefault="00A767D8" w:rsidP="00193F8A"/>
    <w:p w14:paraId="12E2899C" w14:textId="19255451" w:rsidR="007D64FD" w:rsidRPr="00E93301" w:rsidRDefault="00E93301" w:rsidP="00193F8A">
      <w:r>
        <w:t xml:space="preserve">Door </w:t>
      </w:r>
      <w:r w:rsidR="00DF0942">
        <w:t xml:space="preserve">haar </w:t>
      </w:r>
      <w:r>
        <w:t>gedegen reput</w:t>
      </w:r>
      <w:r w:rsidR="00A767D8">
        <w:t xml:space="preserve">atie in de regio is de </w:t>
      </w:r>
      <w:r w:rsidR="009D1723">
        <w:t>Bank</w:t>
      </w:r>
      <w:r>
        <w:t xml:space="preserve"> in staat publiek-private samenwerkingen op te zetten en deel te nemen aan </w:t>
      </w:r>
      <w:r>
        <w:rPr>
          <w:i/>
        </w:rPr>
        <w:t xml:space="preserve">joint ventures. </w:t>
      </w:r>
      <w:r w:rsidR="00D70463">
        <w:t xml:space="preserve">Een evaluatie van de OESO-DAC geeft </w:t>
      </w:r>
      <w:r w:rsidR="00A767D8">
        <w:t xml:space="preserve">aan dat </w:t>
      </w:r>
      <w:r w:rsidR="00D70463">
        <w:t xml:space="preserve">het beleid van de </w:t>
      </w:r>
      <w:r w:rsidR="009D1723">
        <w:t>Bank</w:t>
      </w:r>
      <w:r w:rsidR="00D70463">
        <w:t xml:space="preserve"> op partnerschappen </w:t>
      </w:r>
      <w:r w:rsidR="00A767D8">
        <w:t>een</w:t>
      </w:r>
      <w:r w:rsidR="00D70463">
        <w:t xml:space="preserve"> belangrijke rol speelt in het behalen van de </w:t>
      </w:r>
      <w:r w:rsidR="00A767D8">
        <w:t xml:space="preserve">doelen van de </w:t>
      </w:r>
      <w:r w:rsidR="009D1723">
        <w:t>Bank</w:t>
      </w:r>
      <w:r w:rsidR="00D70463">
        <w:t>.</w:t>
      </w:r>
      <w:r w:rsidR="007C6498">
        <w:t xml:space="preserve"> Onderzoek van AidData geeft aan dat IDB tweede scoort</w:t>
      </w:r>
      <w:r w:rsidR="00945CF2">
        <w:t xml:space="preserve"> bij ‘</w:t>
      </w:r>
      <w:r w:rsidR="00095B22" w:rsidRPr="00AE46DC">
        <w:rPr>
          <w:i/>
        </w:rPr>
        <w:t>agendasetting</w:t>
      </w:r>
      <w:r w:rsidR="00945CF2" w:rsidRPr="00AE46DC">
        <w:rPr>
          <w:i/>
        </w:rPr>
        <w:t xml:space="preserve"> influence’</w:t>
      </w:r>
      <w:r w:rsidR="00945CF2">
        <w:t xml:space="preserve">, al </w:t>
      </w:r>
      <w:r w:rsidR="00AE46DC">
        <w:t>scoort</w:t>
      </w:r>
      <w:r w:rsidR="00945CF2">
        <w:t xml:space="preserve"> ze lager op de</w:t>
      </w:r>
      <w:r w:rsidR="00A87B30">
        <w:t xml:space="preserve"> toepasbaarheid van advies. D</w:t>
      </w:r>
      <w:r w:rsidR="00945CF2">
        <w:t>aarnaast communiceert de IDB ve</w:t>
      </w:r>
      <w:r w:rsidR="00AE46DC">
        <w:t>elvuldig met overheden op beleidsthema’s als het</w:t>
      </w:r>
      <w:r w:rsidR="00945CF2">
        <w:t xml:space="preserve"> beheer</w:t>
      </w:r>
      <w:r w:rsidR="00F45681">
        <w:t xml:space="preserve"> van de</w:t>
      </w:r>
      <w:r w:rsidR="00945CF2">
        <w:t xml:space="preserve"> over</w:t>
      </w:r>
      <w:r w:rsidR="00062536">
        <w:t>heidsuitgaven en infrastructuur</w:t>
      </w:r>
      <w:r w:rsidR="00945CF2">
        <w:t>.</w:t>
      </w:r>
    </w:p>
    <w:p w14:paraId="12E2899D" w14:textId="77777777" w:rsidR="001B3ED2" w:rsidRDefault="001B3ED2" w:rsidP="00193F8A"/>
    <w:p w14:paraId="12E2899E" w14:textId="47484685" w:rsidR="007E4EF9" w:rsidRDefault="00B46F6B" w:rsidP="00193F8A">
      <w:r>
        <w:t>D</w:t>
      </w:r>
      <w:r w:rsidR="003A0F2D">
        <w:t xml:space="preserve">e IDB heeft een heldere visie waarbij </w:t>
      </w:r>
      <w:r w:rsidR="00F45681">
        <w:t xml:space="preserve">de </w:t>
      </w:r>
      <w:r w:rsidR="003A0F2D">
        <w:t xml:space="preserve">diversiteit van partners </w:t>
      </w:r>
      <w:r w:rsidR="00F45681">
        <w:t xml:space="preserve">wordt ingezet </w:t>
      </w:r>
      <w:r w:rsidR="003A0F2D">
        <w:t xml:space="preserve">om de </w:t>
      </w:r>
      <w:r w:rsidR="00F45681">
        <w:t xml:space="preserve">hefboomwerking van de </w:t>
      </w:r>
      <w:r w:rsidR="009D1723">
        <w:t>Bank</w:t>
      </w:r>
      <w:r w:rsidR="003A0F2D">
        <w:t xml:space="preserve"> te vergroten.</w:t>
      </w:r>
      <w:r w:rsidR="00AA62FE">
        <w:t xml:space="preserve"> </w:t>
      </w:r>
      <w:r w:rsidR="00D56969">
        <w:t>De IDB ziet verschillende rollen binnen de partnerschappen</w:t>
      </w:r>
      <w:r w:rsidR="007E4EF9">
        <w:t>:</w:t>
      </w:r>
      <w:r w:rsidR="00854961">
        <w:t xml:space="preserve"> </w:t>
      </w:r>
    </w:p>
    <w:p w14:paraId="12E2899F" w14:textId="77777777" w:rsidR="007E4EF9" w:rsidRDefault="007E4EF9" w:rsidP="007E4EF9">
      <w:pPr>
        <w:numPr>
          <w:ilvl w:val="0"/>
          <w:numId w:val="42"/>
        </w:numPr>
      </w:pPr>
      <w:r>
        <w:t xml:space="preserve">Samenwerking met </w:t>
      </w:r>
      <w:r w:rsidR="00D56969">
        <w:t xml:space="preserve">overheden </w:t>
      </w:r>
      <w:r w:rsidR="00A87B30">
        <w:t xml:space="preserve">leidt tot effectievere </w:t>
      </w:r>
      <w:r w:rsidR="00062536">
        <w:t xml:space="preserve">integratie van </w:t>
      </w:r>
      <w:r w:rsidR="00991760">
        <w:t>ontwikkelings</w:t>
      </w:r>
      <w:r w:rsidR="00062536">
        <w:t>projecten</w:t>
      </w:r>
      <w:r w:rsidR="00991760">
        <w:t xml:space="preserve"> in overheidsbeleid</w:t>
      </w:r>
      <w:r>
        <w:t>;</w:t>
      </w:r>
      <w:r w:rsidR="00991760">
        <w:t xml:space="preserve"> </w:t>
      </w:r>
    </w:p>
    <w:p w14:paraId="12E289A0" w14:textId="77777777" w:rsidR="007E4EF9" w:rsidRDefault="007E4EF9" w:rsidP="007E4EF9">
      <w:pPr>
        <w:numPr>
          <w:ilvl w:val="0"/>
          <w:numId w:val="42"/>
        </w:numPr>
      </w:pPr>
      <w:r>
        <w:t xml:space="preserve">Samenwerking met </w:t>
      </w:r>
      <w:r w:rsidR="00D56969">
        <w:t xml:space="preserve">private partijen en kennisinstellingen </w:t>
      </w:r>
      <w:r w:rsidR="00991760">
        <w:t>voedt</w:t>
      </w:r>
      <w:r w:rsidR="00D56969">
        <w:t xml:space="preserve"> de </w:t>
      </w:r>
      <w:r>
        <w:t>IDB-projecten met kennis en innovatie;</w:t>
      </w:r>
    </w:p>
    <w:p w14:paraId="12E289A1" w14:textId="689D9FB6" w:rsidR="007E4EF9" w:rsidRDefault="007E4EF9" w:rsidP="007E4EF9">
      <w:pPr>
        <w:numPr>
          <w:ilvl w:val="0"/>
          <w:numId w:val="42"/>
        </w:numPr>
      </w:pPr>
      <w:r>
        <w:t xml:space="preserve">Samenwerking met </w:t>
      </w:r>
      <w:r w:rsidR="00D56969">
        <w:t xml:space="preserve">NGO partners </w:t>
      </w:r>
      <w:r w:rsidR="00991760">
        <w:t>draagt bij aan impact op lokaal niveau.</w:t>
      </w:r>
    </w:p>
    <w:p w14:paraId="12E289A2" w14:textId="77777777" w:rsidR="007E4EF9" w:rsidRDefault="007E4EF9" w:rsidP="007E4EF9">
      <w:pPr>
        <w:ind w:left="587"/>
      </w:pPr>
    </w:p>
    <w:p w14:paraId="12E289A3" w14:textId="0E72AC21" w:rsidR="00F01360" w:rsidRPr="009F5CA4" w:rsidRDefault="003A0F2D" w:rsidP="007E4EF9">
      <w:r>
        <w:t xml:space="preserve">Volgens MOPAN 2017 wordt de IDB gezien als een flexibele, responsieve en </w:t>
      </w:r>
      <w:r w:rsidR="00F45681">
        <w:t>proactieve</w:t>
      </w:r>
      <w:r w:rsidR="00991760">
        <w:t xml:space="preserve"> partner</w:t>
      </w:r>
      <w:r w:rsidR="009F5CA4">
        <w:t xml:space="preserve"> en in een </w:t>
      </w:r>
      <w:r w:rsidR="006F33F9" w:rsidRPr="004D5FC0">
        <w:rPr>
          <w:i/>
        </w:rPr>
        <w:t>survey</w:t>
      </w:r>
      <w:r w:rsidR="009F5CA4">
        <w:t xml:space="preserve"> van de IDB’s </w:t>
      </w:r>
      <w:r w:rsidR="009F5CA4" w:rsidRPr="007E4EF9">
        <w:rPr>
          <w:i/>
        </w:rPr>
        <w:t>External Feedback System</w:t>
      </w:r>
      <w:r w:rsidR="009F5CA4">
        <w:t xml:space="preserve"> </w:t>
      </w:r>
      <w:r w:rsidR="00CF5605">
        <w:t>geeft 97% van de respondenten aan dat ze de IDB zouden aan</w:t>
      </w:r>
      <w:r w:rsidR="002B48CD">
        <w:t>raden als ontwikkelingspartner</w:t>
      </w:r>
      <w:r w:rsidR="00DF0942">
        <w:t>.</w:t>
      </w:r>
    </w:p>
    <w:p w14:paraId="12E289A4" w14:textId="77777777" w:rsidR="00991760" w:rsidRDefault="00991760" w:rsidP="00193F8A"/>
    <w:p w14:paraId="12E289A5" w14:textId="6EB21033" w:rsidR="00D70463" w:rsidRPr="00D70463" w:rsidRDefault="000C4F19" w:rsidP="00193F8A">
      <w:r>
        <w:t xml:space="preserve">Naast de gebruikelijke </w:t>
      </w:r>
      <w:r w:rsidR="007E4EF9">
        <w:t>internationale financiële instellingen, w</w:t>
      </w:r>
      <w:r>
        <w:t>erkt de IDB nauw samen met de ontwikkelings</w:t>
      </w:r>
      <w:r w:rsidR="009D1723">
        <w:t>bank</w:t>
      </w:r>
      <w:r>
        <w:t xml:space="preserve">en uit de LAC-regio: </w:t>
      </w:r>
      <w:r w:rsidR="00281739">
        <w:t xml:space="preserve">de </w:t>
      </w:r>
      <w:r w:rsidR="00D70463">
        <w:t xml:space="preserve">CAF </w:t>
      </w:r>
      <w:r w:rsidR="004A05EB">
        <w:t>(een kleinere Latijns-Amerikaanse ontwikkelings</w:t>
      </w:r>
      <w:r w:rsidR="009D1723">
        <w:t>bank</w:t>
      </w:r>
      <w:r w:rsidR="004A05EB">
        <w:t>)</w:t>
      </w:r>
      <w:r w:rsidR="006A4E05">
        <w:t>, CDB (</w:t>
      </w:r>
      <w:r w:rsidR="006F33F9" w:rsidRPr="004D5FC0">
        <w:rPr>
          <w:i/>
        </w:rPr>
        <w:t>Caribbean Development Bank</w:t>
      </w:r>
      <w:r w:rsidR="006A4E05">
        <w:t>)</w:t>
      </w:r>
      <w:r w:rsidR="004A05EB">
        <w:t xml:space="preserve"> </w:t>
      </w:r>
      <w:r w:rsidR="00D70463">
        <w:t>en CABEI</w:t>
      </w:r>
      <w:r w:rsidR="004A05EB">
        <w:t xml:space="preserve"> (</w:t>
      </w:r>
      <w:r w:rsidR="004A05EB">
        <w:rPr>
          <w:i/>
        </w:rPr>
        <w:t xml:space="preserve">Central American </w:t>
      </w:r>
      <w:r w:rsidR="009D1723">
        <w:rPr>
          <w:i/>
        </w:rPr>
        <w:t>Bank</w:t>
      </w:r>
      <w:r w:rsidR="004A05EB">
        <w:rPr>
          <w:i/>
        </w:rPr>
        <w:t xml:space="preserve"> for Economic Integration)</w:t>
      </w:r>
      <w:r w:rsidR="001F0FF5">
        <w:rPr>
          <w:i/>
        </w:rPr>
        <w:t>.</w:t>
      </w:r>
      <w:r>
        <w:rPr>
          <w:i/>
        </w:rPr>
        <w:t xml:space="preserve"> </w:t>
      </w:r>
      <w:r w:rsidR="00D2538C">
        <w:t xml:space="preserve">In een </w:t>
      </w:r>
      <w:r w:rsidR="006F33F9" w:rsidRPr="004D5FC0">
        <w:rPr>
          <w:i/>
        </w:rPr>
        <w:t>survey</w:t>
      </w:r>
      <w:r w:rsidR="00D2538C">
        <w:t xml:space="preserve"> geeft 60% van de respondenten uit </w:t>
      </w:r>
      <w:r w:rsidR="00AE46DC">
        <w:t>Internationale Financiële Instellingen</w:t>
      </w:r>
      <w:r w:rsidR="00D2538C">
        <w:t xml:space="preserve"> aan (zeer) tevreden te zijn met de samenwerking met de IDB</w:t>
      </w:r>
      <w:r w:rsidR="001F0FF5">
        <w:t>.</w:t>
      </w:r>
      <w:r w:rsidR="00D2538C">
        <w:t xml:space="preserve"> </w:t>
      </w:r>
    </w:p>
    <w:p w14:paraId="12E289A6" w14:textId="77777777" w:rsidR="005F7B58" w:rsidRDefault="005F7B58" w:rsidP="00193F8A"/>
    <w:p w14:paraId="12E289A7" w14:textId="0953D3BE" w:rsidR="004A05EB" w:rsidRDefault="00557C1A" w:rsidP="00193F8A">
      <w:r>
        <w:t xml:space="preserve">Verder werkt de IDB samen met bijvoorbeeld </w:t>
      </w:r>
      <w:r w:rsidR="006F33F9" w:rsidRPr="004D5FC0">
        <w:rPr>
          <w:i/>
        </w:rPr>
        <w:t>the China Co-financing Fund for Latin</w:t>
      </w:r>
      <w:r w:rsidR="004F2BA7">
        <w:t xml:space="preserve"> </w:t>
      </w:r>
      <w:r w:rsidR="006F33F9" w:rsidRPr="004D5FC0">
        <w:rPr>
          <w:i/>
        </w:rPr>
        <w:t>America</w:t>
      </w:r>
      <w:r w:rsidR="004F2BA7">
        <w:t xml:space="preserve"> of private partijen</w:t>
      </w:r>
      <w:r w:rsidR="00383338">
        <w:t xml:space="preserve">, </w:t>
      </w:r>
      <w:r w:rsidR="00A87B30">
        <w:t>zoals Shell</w:t>
      </w:r>
      <w:r w:rsidR="00875399">
        <w:t xml:space="preserve"> en FMO</w:t>
      </w:r>
      <w:r w:rsidR="00383338">
        <w:t>,</w:t>
      </w:r>
      <w:r>
        <w:t xml:space="preserve"> om additionele cofinanciering te mobiliseren</w:t>
      </w:r>
      <w:r w:rsidR="001F0FF5">
        <w:t>.</w:t>
      </w:r>
      <w:r w:rsidR="00BE3637">
        <w:t xml:space="preserve"> </w:t>
      </w:r>
      <w:r w:rsidR="004F2BA7">
        <w:t>Jaarlijks organiseert de IDB met</w:t>
      </w:r>
      <w:r w:rsidR="00C4706D">
        <w:t xml:space="preserve"> het</w:t>
      </w:r>
      <w:r w:rsidR="004F2BA7">
        <w:t xml:space="preserve"> regionale </w:t>
      </w:r>
      <w:r w:rsidR="00D2538C">
        <w:t>maatschappelijk middenveld</w:t>
      </w:r>
      <w:r w:rsidR="004F2BA7">
        <w:t xml:space="preserve"> </w:t>
      </w:r>
      <w:r w:rsidR="00C4706D">
        <w:t xml:space="preserve">en de Aziatische partners bijeenkomsten </w:t>
      </w:r>
      <w:r w:rsidR="004F2BA7">
        <w:t>om de partnerschappen te verbeteren en informatie uit te wisselen</w:t>
      </w:r>
      <w:r w:rsidR="001F0FF5">
        <w:t>.</w:t>
      </w:r>
      <w:r w:rsidR="004F2BA7">
        <w:t xml:space="preserve"> </w:t>
      </w:r>
      <w:r w:rsidR="00011E5B">
        <w:t xml:space="preserve">In het maatschappelijk middenveld geeft </w:t>
      </w:r>
      <w:r w:rsidR="00D2538C">
        <w:t>62% van de partners aan (zeer) tevreden te zijn</w:t>
      </w:r>
      <w:r w:rsidR="00011E5B">
        <w:t xml:space="preserve"> over de</w:t>
      </w:r>
      <w:r w:rsidR="00D2538C">
        <w:t xml:space="preserve"> activiteiten van de IDB </w:t>
      </w:r>
      <w:r w:rsidR="00AE46DC">
        <w:t>om de</w:t>
      </w:r>
      <w:r w:rsidR="00D2538C">
        <w:t xml:space="preserve"> inzichten vanuit </w:t>
      </w:r>
      <w:r w:rsidR="00011E5B">
        <w:t>het middenveld</w:t>
      </w:r>
      <w:r w:rsidR="00D2538C">
        <w:t xml:space="preserve"> in hun programma’s te verwerken</w:t>
      </w:r>
      <w:r w:rsidR="001F0FF5">
        <w:t>.</w:t>
      </w:r>
      <w:r w:rsidR="00D2538C">
        <w:t xml:space="preserve"> </w:t>
      </w:r>
    </w:p>
    <w:p w14:paraId="22928909" w14:textId="58E50319" w:rsidR="002B48CD" w:rsidRDefault="002B48CD" w:rsidP="00193F8A"/>
    <w:p w14:paraId="64B4C2F3" w14:textId="6E0AF9D5" w:rsidR="002B48CD" w:rsidRDefault="002B48CD" w:rsidP="00193F8A"/>
    <w:p w14:paraId="361F6095" w14:textId="27F0B138" w:rsidR="002B48CD" w:rsidRDefault="002B48CD" w:rsidP="00193F8A"/>
    <w:p w14:paraId="57CB7EE5" w14:textId="5E5D07AB" w:rsidR="002B48CD" w:rsidRDefault="002B48CD" w:rsidP="00193F8A"/>
    <w:p w14:paraId="31FC06FC" w14:textId="651D56E8" w:rsidR="002B48CD" w:rsidRDefault="002B48CD" w:rsidP="00193F8A"/>
    <w:p w14:paraId="319BFCCA" w14:textId="77777777" w:rsidR="002B48CD" w:rsidRPr="00D2538C" w:rsidRDefault="002B48CD" w:rsidP="00193F8A"/>
    <w:p w14:paraId="12E289A8" w14:textId="73732AE5" w:rsidR="008E22BC" w:rsidRDefault="008E22BC" w:rsidP="00193F8A">
      <w:pPr>
        <w:ind w:left="-45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12E289AB" w14:textId="77777777" w:rsidTr="003162E3">
        <w:tc>
          <w:tcPr>
            <w:tcW w:w="6747" w:type="dxa"/>
            <w:tcBorders>
              <w:top w:val="single" w:sz="12" w:space="0" w:color="auto"/>
              <w:left w:val="single" w:sz="12" w:space="0" w:color="auto"/>
              <w:bottom w:val="single" w:sz="12" w:space="0" w:color="auto"/>
            </w:tcBorders>
            <w:shd w:val="clear" w:color="auto" w:fill="D0CECE"/>
          </w:tcPr>
          <w:p w14:paraId="12E289A9" w14:textId="77777777" w:rsidR="002A310E" w:rsidRPr="00EA0AA8" w:rsidRDefault="002A310E" w:rsidP="00193F8A">
            <w:pPr>
              <w:rPr>
                <w:b/>
              </w:rPr>
            </w:pPr>
            <w:r w:rsidRPr="00EA0AA8">
              <w:rPr>
                <w:b/>
              </w:rPr>
              <w:lastRenderedPageBreak/>
              <w:t>Onderdeel</w:t>
            </w:r>
          </w:p>
        </w:tc>
        <w:tc>
          <w:tcPr>
            <w:tcW w:w="950" w:type="dxa"/>
            <w:tcBorders>
              <w:top w:val="single" w:sz="12" w:space="0" w:color="auto"/>
              <w:bottom w:val="single" w:sz="12" w:space="0" w:color="auto"/>
              <w:right w:val="single" w:sz="12" w:space="0" w:color="auto"/>
            </w:tcBorders>
            <w:shd w:val="clear" w:color="auto" w:fill="D0CECE"/>
          </w:tcPr>
          <w:p w14:paraId="12E289AA" w14:textId="77777777" w:rsidR="002A310E" w:rsidRPr="00EA0AA8" w:rsidRDefault="002A310E" w:rsidP="00193F8A">
            <w:pPr>
              <w:rPr>
                <w:b/>
              </w:rPr>
            </w:pPr>
            <w:r w:rsidRPr="00EA0AA8">
              <w:rPr>
                <w:b/>
              </w:rPr>
              <w:t>Score</w:t>
            </w:r>
          </w:p>
        </w:tc>
      </w:tr>
      <w:tr w:rsidR="002A310E" w14:paraId="12E289AE" w14:textId="77777777" w:rsidTr="003162E3">
        <w:tc>
          <w:tcPr>
            <w:tcW w:w="6747" w:type="dxa"/>
            <w:tcBorders>
              <w:top w:val="single" w:sz="12" w:space="0" w:color="auto"/>
              <w:left w:val="single" w:sz="12" w:space="0" w:color="auto"/>
            </w:tcBorders>
            <w:shd w:val="clear" w:color="auto" w:fill="auto"/>
          </w:tcPr>
          <w:p w14:paraId="12E289AC" w14:textId="77777777" w:rsidR="002A310E" w:rsidRDefault="00CD7B6F" w:rsidP="00193F8A">
            <w:r>
              <w:t>Partnerschappen met andere organisaties</w:t>
            </w:r>
          </w:p>
        </w:tc>
        <w:tc>
          <w:tcPr>
            <w:tcW w:w="950" w:type="dxa"/>
            <w:tcBorders>
              <w:top w:val="single" w:sz="12" w:space="0" w:color="auto"/>
              <w:right w:val="single" w:sz="12" w:space="0" w:color="auto"/>
            </w:tcBorders>
            <w:shd w:val="clear" w:color="auto" w:fill="auto"/>
          </w:tcPr>
          <w:p w14:paraId="12E289AD" w14:textId="77777777" w:rsidR="002A310E" w:rsidRDefault="00F25804" w:rsidP="00193F8A">
            <w:r>
              <w:t>4</w:t>
            </w:r>
          </w:p>
        </w:tc>
      </w:tr>
      <w:tr w:rsidR="002A310E" w14:paraId="12E289B1" w14:textId="77777777" w:rsidTr="003162E3">
        <w:tc>
          <w:tcPr>
            <w:tcW w:w="6747" w:type="dxa"/>
            <w:tcBorders>
              <w:left w:val="single" w:sz="12" w:space="0" w:color="auto"/>
            </w:tcBorders>
            <w:shd w:val="clear" w:color="auto" w:fill="auto"/>
          </w:tcPr>
          <w:p w14:paraId="12E289AF" w14:textId="77777777" w:rsidR="002A310E" w:rsidRDefault="00CD7B6F" w:rsidP="00193F8A">
            <w:r>
              <w:t>Visie en rol partnerschappen</w:t>
            </w:r>
          </w:p>
        </w:tc>
        <w:tc>
          <w:tcPr>
            <w:tcW w:w="950" w:type="dxa"/>
            <w:tcBorders>
              <w:right w:val="single" w:sz="12" w:space="0" w:color="auto"/>
            </w:tcBorders>
            <w:shd w:val="clear" w:color="auto" w:fill="auto"/>
          </w:tcPr>
          <w:p w14:paraId="12E289B0" w14:textId="77777777" w:rsidR="002A310E" w:rsidRDefault="003A0F2D" w:rsidP="00193F8A">
            <w:r>
              <w:t>4</w:t>
            </w:r>
          </w:p>
        </w:tc>
      </w:tr>
      <w:tr w:rsidR="002A310E" w14:paraId="12E289B4" w14:textId="77777777" w:rsidTr="003162E3">
        <w:tc>
          <w:tcPr>
            <w:tcW w:w="6747" w:type="dxa"/>
            <w:tcBorders>
              <w:left w:val="single" w:sz="12" w:space="0" w:color="auto"/>
            </w:tcBorders>
            <w:shd w:val="clear" w:color="auto" w:fill="auto"/>
          </w:tcPr>
          <w:p w14:paraId="12E289B2" w14:textId="77777777" w:rsidR="002A310E" w:rsidRDefault="00CD7B6F" w:rsidP="007E4EF9">
            <w:r>
              <w:t>Aanslu</w:t>
            </w:r>
            <w:r w:rsidR="00C447C0">
              <w:t xml:space="preserve">iting partnerschappen met andere </w:t>
            </w:r>
            <w:r w:rsidR="007E4EF9">
              <w:t>IFI’s</w:t>
            </w:r>
          </w:p>
        </w:tc>
        <w:tc>
          <w:tcPr>
            <w:tcW w:w="950" w:type="dxa"/>
            <w:tcBorders>
              <w:right w:val="single" w:sz="12" w:space="0" w:color="auto"/>
            </w:tcBorders>
            <w:shd w:val="clear" w:color="auto" w:fill="auto"/>
          </w:tcPr>
          <w:p w14:paraId="12E289B3" w14:textId="77777777" w:rsidR="002A310E" w:rsidRDefault="00F25804" w:rsidP="00193F8A">
            <w:r>
              <w:t>3</w:t>
            </w:r>
          </w:p>
        </w:tc>
      </w:tr>
      <w:tr w:rsidR="00422948" w14:paraId="12E289B7" w14:textId="77777777" w:rsidTr="003162E3">
        <w:tc>
          <w:tcPr>
            <w:tcW w:w="6747" w:type="dxa"/>
            <w:tcBorders>
              <w:left w:val="single" w:sz="12" w:space="0" w:color="auto"/>
            </w:tcBorders>
            <w:shd w:val="clear" w:color="auto" w:fill="auto"/>
          </w:tcPr>
          <w:p w14:paraId="12E289B5" w14:textId="77777777" w:rsidR="00422948" w:rsidRDefault="00072371" w:rsidP="00193F8A">
            <w:r>
              <w:t>Samenwerking en coördinatie overige actoren</w:t>
            </w:r>
          </w:p>
        </w:tc>
        <w:tc>
          <w:tcPr>
            <w:tcW w:w="950" w:type="dxa"/>
            <w:tcBorders>
              <w:right w:val="single" w:sz="12" w:space="0" w:color="auto"/>
            </w:tcBorders>
            <w:shd w:val="clear" w:color="auto" w:fill="auto"/>
          </w:tcPr>
          <w:p w14:paraId="12E289B6" w14:textId="77777777" w:rsidR="00422948" w:rsidRDefault="00F25804" w:rsidP="00193F8A">
            <w:r>
              <w:t>3</w:t>
            </w:r>
          </w:p>
        </w:tc>
      </w:tr>
      <w:tr w:rsidR="002A310E" w:rsidRPr="00EA0AA8" w14:paraId="12E289BA" w14:textId="77777777" w:rsidTr="003162E3">
        <w:tc>
          <w:tcPr>
            <w:tcW w:w="6747" w:type="dxa"/>
            <w:tcBorders>
              <w:top w:val="single" w:sz="12" w:space="0" w:color="auto"/>
              <w:left w:val="single" w:sz="12" w:space="0" w:color="auto"/>
              <w:bottom w:val="single" w:sz="12" w:space="0" w:color="auto"/>
            </w:tcBorders>
            <w:shd w:val="clear" w:color="auto" w:fill="D0CECE"/>
          </w:tcPr>
          <w:p w14:paraId="12E289B8" w14:textId="77777777" w:rsidR="002A310E" w:rsidRPr="00EA0AA8" w:rsidRDefault="002A310E" w:rsidP="00193F8A">
            <w:pPr>
              <w:rPr>
                <w:b/>
              </w:rPr>
            </w:pPr>
            <w:r w:rsidRPr="00F313B0">
              <w:rPr>
                <w:b/>
              </w:rPr>
              <w:t>TOTAAL</w:t>
            </w:r>
          </w:p>
        </w:tc>
        <w:tc>
          <w:tcPr>
            <w:tcW w:w="950" w:type="dxa"/>
            <w:tcBorders>
              <w:top w:val="single" w:sz="12" w:space="0" w:color="auto"/>
              <w:bottom w:val="single" w:sz="12" w:space="0" w:color="auto"/>
              <w:right w:val="single" w:sz="12" w:space="0" w:color="auto"/>
            </w:tcBorders>
            <w:shd w:val="clear" w:color="auto" w:fill="D0CECE"/>
          </w:tcPr>
          <w:p w14:paraId="12E289B9" w14:textId="77777777" w:rsidR="002A310E" w:rsidRPr="00EA0AA8" w:rsidRDefault="004E49E5" w:rsidP="00193F8A">
            <w:pPr>
              <w:rPr>
                <w:b/>
              </w:rPr>
            </w:pPr>
            <w:r>
              <w:rPr>
                <w:b/>
              </w:rPr>
              <w:t>4</w:t>
            </w:r>
          </w:p>
        </w:tc>
      </w:tr>
    </w:tbl>
    <w:p w14:paraId="053E167C" w14:textId="77777777" w:rsidR="00E35711" w:rsidRDefault="00E35711" w:rsidP="00193F8A"/>
    <w:p w14:paraId="518424A8" w14:textId="6E69587D" w:rsidR="00D24162" w:rsidRDefault="00687998" w:rsidP="003162E3">
      <w:r w:rsidRPr="00193994">
        <w:t>Ver</w:t>
      </w:r>
      <w:r>
        <w:t xml:space="preserve">andering sinds 2015: </w:t>
      </w:r>
      <w:r w:rsidR="004E49E5">
        <w:t xml:space="preserve">positief = </w:t>
      </w:r>
      <w:r w:rsidR="004E49E5" w:rsidRPr="00193994">
        <w:sym w:font="Wingdings" w:char="F0E9"/>
      </w:r>
      <w:r w:rsidR="00613336">
        <w:t xml:space="preserve">  </w:t>
      </w:r>
    </w:p>
    <w:p w14:paraId="2C7A0C65" w14:textId="77777777" w:rsidR="002B48CD" w:rsidRDefault="002B48CD" w:rsidP="00193F8A"/>
    <w:p w14:paraId="12E289BB" w14:textId="78F3D670" w:rsidR="00687998" w:rsidRDefault="00613336" w:rsidP="00193F8A">
      <w:r>
        <w:t xml:space="preserve">Gezien het grote belang dat de IDB aan partnerschappen hecht en de toekomstplannen, zoals een herkenbaar </w:t>
      </w:r>
      <w:r w:rsidR="00C87002" w:rsidRPr="00C87002">
        <w:rPr>
          <w:i/>
        </w:rPr>
        <w:t>f</w:t>
      </w:r>
      <w:r w:rsidRPr="00C87002">
        <w:rPr>
          <w:i/>
        </w:rPr>
        <w:t>ocal</w:t>
      </w:r>
      <w:r>
        <w:rPr>
          <w:i/>
        </w:rPr>
        <w:t xml:space="preserve"> point</w:t>
      </w:r>
      <w:r>
        <w:t xml:space="preserve"> voor externe partijen, is besloten de gemiddelde score naar boven af te ronden. </w:t>
      </w:r>
    </w:p>
    <w:p w14:paraId="3D767A4D" w14:textId="77777777" w:rsidR="003F17A2" w:rsidRDefault="003F17A2" w:rsidP="00193F8A">
      <w:pPr>
        <w:rPr>
          <w:b/>
        </w:rPr>
      </w:pPr>
    </w:p>
    <w:p w14:paraId="12E289BC" w14:textId="66C91C62" w:rsidR="00DE343C" w:rsidRPr="00215005" w:rsidRDefault="00B3437D" w:rsidP="00193F8A">
      <w:pPr>
        <w:pStyle w:val="Heading2"/>
        <w:tabs>
          <w:tab w:val="left" w:pos="-1162"/>
          <w:tab w:val="left" w:pos="0"/>
          <w:tab w:val="num" w:pos="1160"/>
        </w:tabs>
        <w:spacing w:line="240" w:lineRule="atLeast"/>
        <w:ind w:hanging="1162"/>
      </w:pPr>
      <w:bookmarkStart w:id="44" w:name="_Toc410140903"/>
      <w:bookmarkStart w:id="45" w:name="_Toc473812726"/>
      <w:bookmarkStart w:id="46" w:name="_Toc491437688"/>
      <w:r>
        <w:t>4</w:t>
      </w:r>
      <w:r w:rsidR="004D372F" w:rsidRPr="00215005">
        <w:t>.</w:t>
      </w:r>
      <w:r w:rsidR="00A74DEC" w:rsidRPr="00215005">
        <w:t>4</w:t>
      </w:r>
      <w:r w:rsidR="004D372F" w:rsidRPr="00215005">
        <w:t xml:space="preserve"> </w:t>
      </w:r>
      <w:r w:rsidR="0031751C" w:rsidRPr="00215005">
        <w:tab/>
      </w:r>
      <w:r w:rsidR="00CD7B6F" w:rsidRPr="00215005">
        <w:t>Operationeel management</w:t>
      </w:r>
      <w:bookmarkEnd w:id="44"/>
      <w:bookmarkEnd w:id="45"/>
      <w:bookmarkEnd w:id="46"/>
    </w:p>
    <w:p w14:paraId="12E289BD" w14:textId="77777777" w:rsidR="00F25804" w:rsidRDefault="00051387" w:rsidP="00193F8A">
      <w:r w:rsidRPr="00051387">
        <w:t xml:space="preserve">De IDB heeft </w:t>
      </w:r>
      <w:r w:rsidR="00F25804">
        <w:t xml:space="preserve">een landenkantoor </w:t>
      </w:r>
      <w:r w:rsidRPr="00051387">
        <w:t xml:space="preserve">in elke </w:t>
      </w:r>
      <w:r w:rsidR="00462935">
        <w:t xml:space="preserve">lenende </w:t>
      </w:r>
      <w:r w:rsidRPr="00051387">
        <w:t xml:space="preserve">regionale lidstaat. </w:t>
      </w:r>
      <w:r w:rsidR="00F25804">
        <w:t xml:space="preserve">Daarnaast heeft de </w:t>
      </w:r>
      <w:r w:rsidR="009D1723">
        <w:t>Bank</w:t>
      </w:r>
      <w:r w:rsidR="00F25804">
        <w:t xml:space="preserve"> een kantoor in Madrid </w:t>
      </w:r>
      <w:r w:rsidR="00C6391E">
        <w:t xml:space="preserve">dat </w:t>
      </w:r>
      <w:r w:rsidRPr="00051387">
        <w:t>verantwoordelijk</w:t>
      </w:r>
      <w:r w:rsidR="00C6391E">
        <w:t xml:space="preserve"> is</w:t>
      </w:r>
      <w:r w:rsidRPr="00051387">
        <w:t xml:space="preserve"> </w:t>
      </w:r>
      <w:r w:rsidR="00F25804">
        <w:t>voor het contact met het bedrijfsleven</w:t>
      </w:r>
      <w:r>
        <w:t xml:space="preserve"> in de </w:t>
      </w:r>
      <w:r w:rsidR="00462935">
        <w:t xml:space="preserve">Europese </w:t>
      </w:r>
      <w:r>
        <w:t xml:space="preserve">niet-regionale </w:t>
      </w:r>
      <w:r w:rsidR="00F25804">
        <w:t>lidstaten</w:t>
      </w:r>
      <w:r w:rsidR="00462935">
        <w:t xml:space="preserve"> en een kantoor in Japan voor de Aziatische niet-regionale lidstaten</w:t>
      </w:r>
      <w:r w:rsidR="00F25804">
        <w:t xml:space="preserve">. </w:t>
      </w:r>
    </w:p>
    <w:p w14:paraId="12E289BE" w14:textId="77777777" w:rsidR="00F25804" w:rsidRDefault="00F25804" w:rsidP="00193F8A"/>
    <w:p w14:paraId="12E289BF" w14:textId="1DFC12C9" w:rsidR="00051387" w:rsidRDefault="00051387" w:rsidP="00193F8A">
      <w:r w:rsidRPr="00051387">
        <w:t xml:space="preserve">De </w:t>
      </w:r>
      <w:r w:rsidR="00F25804">
        <w:t>nationale strategie</w:t>
      </w:r>
      <w:r w:rsidR="00EB1B91">
        <w:t xml:space="preserve"> van de lenende lidstaten</w:t>
      </w:r>
      <w:r w:rsidRPr="00051387">
        <w:t xml:space="preserve"> </w:t>
      </w:r>
      <w:r w:rsidR="00F25804">
        <w:t>wordt elke drie</w:t>
      </w:r>
      <w:r w:rsidR="005B6CCA">
        <w:t xml:space="preserve"> </w:t>
      </w:r>
      <w:r w:rsidR="00C01CFA">
        <w:t>tot vier</w:t>
      </w:r>
      <w:r w:rsidR="00F25804">
        <w:t xml:space="preserve"> jaar</w:t>
      </w:r>
      <w:r w:rsidR="00C01CFA">
        <w:t xml:space="preserve">, </w:t>
      </w:r>
      <w:r w:rsidR="002954FB">
        <w:t xml:space="preserve">in beginsel </w:t>
      </w:r>
      <w:r w:rsidR="00C01CFA">
        <w:t>bij aantreden van een nieuwe regering,</w:t>
      </w:r>
      <w:r w:rsidR="00260005">
        <w:t xml:space="preserve"> </w:t>
      </w:r>
      <w:r w:rsidR="00C01CFA">
        <w:t>vastgesteld</w:t>
      </w:r>
      <w:r w:rsidR="00F25804">
        <w:t xml:space="preserve"> en </w:t>
      </w:r>
      <w:r w:rsidRPr="00051387">
        <w:t xml:space="preserve">bevat de strategische prioriteiten, de ontwikkelingsdoelen en de verwachte behaalde resultaten </w:t>
      </w:r>
      <w:r w:rsidR="00F25804">
        <w:t>gezien</w:t>
      </w:r>
      <w:r w:rsidRPr="00051387">
        <w:t xml:space="preserve"> de huidige en toekomstige projecten</w:t>
      </w:r>
      <w:r w:rsidR="001F0FF5">
        <w:t>.</w:t>
      </w:r>
      <w:r w:rsidRPr="00051387">
        <w:t xml:space="preserve"> </w:t>
      </w:r>
      <w:r w:rsidR="002954FB">
        <w:t>B</w:t>
      </w:r>
      <w:r>
        <w:t>elangrijke ontwikkeling</w:t>
      </w:r>
      <w:r w:rsidR="002954FB">
        <w:t>en</w:t>
      </w:r>
      <w:r w:rsidR="00DC6624">
        <w:t>,</w:t>
      </w:r>
      <w:r>
        <w:t xml:space="preserve"> in </w:t>
      </w:r>
      <w:r w:rsidR="002954FB">
        <w:t xml:space="preserve">een recent overeengekomen </w:t>
      </w:r>
      <w:r w:rsidR="00F25804">
        <w:t>richtlijn</w:t>
      </w:r>
      <w:r w:rsidR="002954FB">
        <w:t xml:space="preserve"> voor deze </w:t>
      </w:r>
      <w:r w:rsidR="00C6391E">
        <w:t>landenstrategieën</w:t>
      </w:r>
      <w:r w:rsidR="00DC6624">
        <w:t>,</w:t>
      </w:r>
      <w:r>
        <w:t xml:space="preserve"> </w:t>
      </w:r>
      <w:r w:rsidR="002954FB">
        <w:t>zijn het opnemen van een langere termijnvisie op ontwikkeling, betere intersectorale samenwerking en</w:t>
      </w:r>
      <w:r>
        <w:t xml:space="preserve"> een nauwere samenwerking tussen de IDB en IIC bij </w:t>
      </w:r>
      <w:r w:rsidR="00C01CFA">
        <w:t xml:space="preserve">de analyse van de nationale ontwikkelingsuitdagingen en </w:t>
      </w:r>
      <w:r>
        <w:t xml:space="preserve">het opstellen van de nationale </w:t>
      </w:r>
      <w:r w:rsidR="00F25804">
        <w:t xml:space="preserve">strategieën. Daarnaast heeft elke regionale lidstaat een landvertegenwoordiger die zowel </w:t>
      </w:r>
      <w:r>
        <w:t>verantwoordelijk is voor de IDB als de IIC</w:t>
      </w:r>
      <w:r w:rsidR="00462935">
        <w:t xml:space="preserve"> en het MIF</w:t>
      </w:r>
      <w:r>
        <w:t>. Er wordt momenteel gewerkt aan de eerste land</w:t>
      </w:r>
      <w:r w:rsidR="00F25804">
        <w:t>strategieën</w:t>
      </w:r>
      <w:r>
        <w:t xml:space="preserve"> onder de nieuwe </w:t>
      </w:r>
      <w:r w:rsidR="00F25804">
        <w:t>richtlijn</w:t>
      </w:r>
      <w:r w:rsidR="00EB1B91">
        <w:t>.</w:t>
      </w:r>
      <w:r>
        <w:t xml:space="preserve"> </w:t>
      </w:r>
    </w:p>
    <w:p w14:paraId="12E289C0" w14:textId="77777777" w:rsidR="0045505E" w:rsidRDefault="0045505E" w:rsidP="00193F8A"/>
    <w:p w14:paraId="12E289C1" w14:textId="1A670E29" w:rsidR="0045505E" w:rsidRDefault="0045505E" w:rsidP="00193F8A">
      <w:r>
        <w:t xml:space="preserve">De IDB heeft </w:t>
      </w:r>
      <w:r w:rsidR="00C6391E">
        <w:t xml:space="preserve">gemengde </w:t>
      </w:r>
      <w:r w:rsidR="00FC77C5">
        <w:t>resultaten op</w:t>
      </w:r>
      <w:r w:rsidR="00471F9E">
        <w:t xml:space="preserve"> het gebied van projectbeheer. E</w:t>
      </w:r>
      <w:r w:rsidR="00FC77C5">
        <w:t xml:space="preserve">nerzijds heeft de IDB </w:t>
      </w:r>
      <w:r w:rsidR="00FA6265">
        <w:t>haar</w:t>
      </w:r>
      <w:r w:rsidR="00FC77C5">
        <w:t xml:space="preserve"> tijdslijntargets voor het opzetten van landenstrategieën en het voorbereiden en uitbetalen van de leningen </w:t>
      </w:r>
      <w:r w:rsidR="00471F9E">
        <w:t>niet gehaald</w:t>
      </w:r>
      <w:r w:rsidR="00C6391E">
        <w:t xml:space="preserve"> en ook </w:t>
      </w:r>
      <w:r w:rsidR="00EF65F3">
        <w:t xml:space="preserve">zijn de voorbereidingstijd en implementatiekosten voor projecten niet verlaagd. </w:t>
      </w:r>
      <w:r w:rsidR="00471F9E">
        <w:t>An</w:t>
      </w:r>
      <w:r w:rsidR="00FC77C5">
        <w:t>derzijds</w:t>
      </w:r>
      <w:r w:rsidR="00471F9E">
        <w:t xml:space="preserve"> wordt de IDB gewaardeerd om </w:t>
      </w:r>
      <w:r w:rsidR="00EF65F3">
        <w:t>haar</w:t>
      </w:r>
      <w:r w:rsidR="00471F9E">
        <w:t xml:space="preserve"> korte reactietijd op verzoeken vanuit partners en is de reactietijd gedurende de projectuitvoering aanzienlijk verlaagd</w:t>
      </w:r>
      <w:r w:rsidR="00EF65F3">
        <w:t>.</w:t>
      </w:r>
      <w:r w:rsidR="00B20844">
        <w:t xml:space="preserve"> Het aantal uitbetaalde </w:t>
      </w:r>
      <w:r w:rsidR="00C6391E">
        <w:t>ten opzichte van</w:t>
      </w:r>
      <w:r w:rsidR="00B20844">
        <w:t xml:space="preserve"> de geplande leningen valt binnen de marges van de </w:t>
      </w:r>
      <w:r w:rsidR="009D1723">
        <w:t>Bank</w:t>
      </w:r>
      <w:r w:rsidR="00F83AF4">
        <w:t>.</w:t>
      </w:r>
      <w:r w:rsidR="002B48CD">
        <w:t xml:space="preserve"> </w:t>
      </w:r>
      <w:r w:rsidR="00BF7E3B">
        <w:t xml:space="preserve">In 2016 was de mediane duur van projectgoedkeuring tot de eerste uitbetaling van de lening 12,4 maanden. </w:t>
      </w:r>
    </w:p>
    <w:p w14:paraId="12E289C2" w14:textId="77777777" w:rsidR="00F25804" w:rsidRPr="00051387" w:rsidRDefault="00F25804" w:rsidP="00193F8A"/>
    <w:p w14:paraId="12E289C3" w14:textId="6EB4AD94" w:rsidR="000841A2" w:rsidRDefault="00A90510" w:rsidP="00193F8A">
      <w:r w:rsidRPr="008502F4">
        <w:t>De verantwoordelijkh</w:t>
      </w:r>
      <w:r w:rsidR="008502F4">
        <w:t>eden en bevoegdheden van de lan</w:t>
      </w:r>
      <w:r w:rsidRPr="008502F4">
        <w:t xml:space="preserve">denkantoren zijn adequaat geformuleerd. Doordat er in de </w:t>
      </w:r>
      <w:r w:rsidRPr="008502F4">
        <w:rPr>
          <w:i/>
        </w:rPr>
        <w:t>Country Strategy</w:t>
      </w:r>
      <w:r w:rsidRPr="008502F4">
        <w:t xml:space="preserve"> een link wordt gelegd naar de </w:t>
      </w:r>
      <w:r w:rsidRPr="00DC6624">
        <w:t>Institutionele</w:t>
      </w:r>
      <w:r w:rsidRPr="008502F4">
        <w:rPr>
          <w:i/>
        </w:rPr>
        <w:t xml:space="preserve"> </w:t>
      </w:r>
      <w:r w:rsidRPr="00DC6624">
        <w:t>Strategie</w:t>
      </w:r>
      <w:r w:rsidRPr="008502F4">
        <w:rPr>
          <w:i/>
        </w:rPr>
        <w:t xml:space="preserve"> </w:t>
      </w:r>
      <w:r w:rsidRPr="008502F4">
        <w:t>e</w:t>
      </w:r>
      <w:r w:rsidR="008502F4">
        <w:t>n i</w:t>
      </w:r>
      <w:r w:rsidRPr="008502F4">
        <w:t xml:space="preserve">n het resultatenraamwerk </w:t>
      </w:r>
      <w:r w:rsidR="008502F4">
        <w:t>een link naar elk</w:t>
      </w:r>
      <w:r w:rsidRPr="008502F4">
        <w:t xml:space="preserve"> individueel project</w:t>
      </w:r>
      <w:r w:rsidR="008502F4">
        <w:t>,</w:t>
      </w:r>
      <w:r w:rsidRPr="008502F4">
        <w:t xml:space="preserve"> wordt gewaarborgd dat </w:t>
      </w:r>
      <w:r w:rsidR="008502F4" w:rsidRPr="008502F4">
        <w:t xml:space="preserve">de decentrale kantoren handelen in lijn met de doelstellingen van de </w:t>
      </w:r>
      <w:r w:rsidR="009D1723">
        <w:t>Bank</w:t>
      </w:r>
      <w:r w:rsidR="008502F4" w:rsidRPr="008502F4">
        <w:t xml:space="preserve">. </w:t>
      </w:r>
      <w:r w:rsidR="004F638F" w:rsidRPr="001331D2">
        <w:t xml:space="preserve">Decentralisatie is een prioriteit van de IDB om zodoende beter te kunnen handelen naar de </w:t>
      </w:r>
      <w:r w:rsidR="00A9474C">
        <w:t xml:space="preserve">nationale </w:t>
      </w:r>
      <w:r w:rsidR="004F638F" w:rsidRPr="001331D2">
        <w:t xml:space="preserve">behoeftes. </w:t>
      </w:r>
      <w:r w:rsidR="004F638F">
        <w:t xml:space="preserve">Dit heeft zich </w:t>
      </w:r>
      <w:r w:rsidR="00C6391E">
        <w:t>onder andere</w:t>
      </w:r>
      <w:r w:rsidR="004F638F">
        <w:t xml:space="preserve"> geuit in een decentralisatie van het persone</w:t>
      </w:r>
      <w:r w:rsidR="00DC6624">
        <w:t>el, waardoor de</w:t>
      </w:r>
      <w:r w:rsidR="0042354D">
        <w:t xml:space="preserve"> balans tussen sector</w:t>
      </w:r>
      <w:r w:rsidR="004F638F">
        <w:t xml:space="preserve">specialisten op het hoofdkantoor en landenkantoren is </w:t>
      </w:r>
      <w:r w:rsidR="002954FB">
        <w:t>verbeterd</w:t>
      </w:r>
      <w:r w:rsidR="00DC6624">
        <w:t>,</w:t>
      </w:r>
      <w:r w:rsidR="004F638F">
        <w:t xml:space="preserve"> en meer </w:t>
      </w:r>
      <w:r w:rsidR="00DC6624">
        <w:t>focus</w:t>
      </w:r>
      <w:r w:rsidR="00C6391E">
        <w:t xml:space="preserve"> </w:t>
      </w:r>
      <w:r w:rsidR="004F638F">
        <w:t>op lage inkomens</w:t>
      </w:r>
      <w:r w:rsidR="000841A2">
        <w:t>-</w:t>
      </w:r>
      <w:r w:rsidR="004F638F">
        <w:t xml:space="preserve"> en kleine landen. </w:t>
      </w:r>
    </w:p>
    <w:p w14:paraId="12E289C4" w14:textId="77777777" w:rsidR="000841A2" w:rsidRDefault="000841A2" w:rsidP="00193F8A"/>
    <w:p w14:paraId="3F9DE496" w14:textId="77777777" w:rsidR="00C75A9A" w:rsidRDefault="008502F4">
      <w:r>
        <w:t xml:space="preserve">De projectuitvoering is de verantwoordelijkheid van het lenende land waarbij het lokale IDB-kantoor superviseert. </w:t>
      </w:r>
      <w:r w:rsidRPr="008502F4">
        <w:t xml:space="preserve">Landensystemen op gebied van procurement, </w:t>
      </w:r>
      <w:r w:rsidRPr="008502F4">
        <w:lastRenderedPageBreak/>
        <w:t>financieel management</w:t>
      </w:r>
      <w:r w:rsidR="00C6391E">
        <w:t>,</w:t>
      </w:r>
      <w:r w:rsidRPr="008502F4">
        <w:t xml:space="preserve"> milieu-waarborgen</w:t>
      </w:r>
      <w:r w:rsidR="00C6391E">
        <w:t>,</w:t>
      </w:r>
      <w:r w:rsidRPr="008502F4">
        <w:t xml:space="preserve"> monitoring/evaluatie en nationale statistieken worden gebruikt indien</w:t>
      </w:r>
      <w:r w:rsidR="00C6391E">
        <w:t>,</w:t>
      </w:r>
      <w:r>
        <w:t xml:space="preserve"> of voor zoverre</w:t>
      </w:r>
      <w:r w:rsidR="00C6391E">
        <w:t>,</w:t>
      </w:r>
      <w:r>
        <w:t xml:space="preserve"> ze aan de IDB-s</w:t>
      </w:r>
      <w:r w:rsidRPr="008502F4">
        <w:t>tandaarden voldoen</w:t>
      </w:r>
      <w:r w:rsidR="001F0FF5">
        <w:t>.</w:t>
      </w:r>
      <w:r>
        <w:t xml:space="preserve"> </w:t>
      </w:r>
      <w:r w:rsidR="00865800">
        <w:t xml:space="preserve">De </w:t>
      </w:r>
      <w:r w:rsidR="009D1723">
        <w:t>Bank</w:t>
      </w:r>
      <w:r w:rsidR="00865800">
        <w:t xml:space="preserve"> maakt </w:t>
      </w:r>
      <w:r w:rsidR="00613336">
        <w:t xml:space="preserve">gebruik van de nationale aanbestedingsprocedure </w:t>
      </w:r>
      <w:r w:rsidR="00DC6624">
        <w:t>of</w:t>
      </w:r>
      <w:r w:rsidR="00613336">
        <w:t xml:space="preserve"> het </w:t>
      </w:r>
      <w:r w:rsidR="00DC6624">
        <w:t xml:space="preserve">nationale </w:t>
      </w:r>
      <w:r w:rsidR="00613336">
        <w:t xml:space="preserve">financieel beheer in respectievelijk </w:t>
      </w:r>
      <w:r w:rsidR="00865800">
        <w:t>18 en 24 van de 26 regionale lidstaten</w:t>
      </w:r>
      <w:r w:rsidR="00613336">
        <w:t xml:space="preserve">. </w:t>
      </w:r>
    </w:p>
    <w:p w14:paraId="3A113273" w14:textId="6105C1EF" w:rsidR="00180E29" w:rsidRDefault="00180E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12E289C9" w14:textId="77777777" w:rsidTr="00180E29">
        <w:tc>
          <w:tcPr>
            <w:tcW w:w="6748" w:type="dxa"/>
            <w:tcBorders>
              <w:top w:val="single" w:sz="12" w:space="0" w:color="auto"/>
              <w:left w:val="single" w:sz="12" w:space="0" w:color="auto"/>
              <w:bottom w:val="single" w:sz="12" w:space="0" w:color="auto"/>
            </w:tcBorders>
            <w:shd w:val="clear" w:color="auto" w:fill="D0CECE"/>
          </w:tcPr>
          <w:p w14:paraId="12E289C7" w14:textId="15F02D94" w:rsidR="002A310E" w:rsidRPr="00EA0AA8" w:rsidRDefault="002A310E" w:rsidP="00193F8A">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0CECE"/>
          </w:tcPr>
          <w:p w14:paraId="12E289C8" w14:textId="77777777" w:rsidR="002A310E" w:rsidRPr="00EA0AA8" w:rsidRDefault="002A310E" w:rsidP="00193F8A">
            <w:pPr>
              <w:rPr>
                <w:b/>
              </w:rPr>
            </w:pPr>
            <w:r w:rsidRPr="00EA0AA8">
              <w:rPr>
                <w:b/>
              </w:rPr>
              <w:t>Score</w:t>
            </w:r>
          </w:p>
        </w:tc>
      </w:tr>
      <w:tr w:rsidR="002A310E" w14:paraId="12E289CC" w14:textId="77777777" w:rsidTr="00180E29">
        <w:tc>
          <w:tcPr>
            <w:tcW w:w="6748" w:type="dxa"/>
            <w:tcBorders>
              <w:top w:val="single" w:sz="12" w:space="0" w:color="auto"/>
              <w:left w:val="single" w:sz="12" w:space="0" w:color="auto"/>
            </w:tcBorders>
            <w:shd w:val="clear" w:color="auto" w:fill="auto"/>
          </w:tcPr>
          <w:p w14:paraId="12E289CA" w14:textId="77777777" w:rsidR="002A310E" w:rsidRDefault="008A646F" w:rsidP="00193F8A">
            <w:r>
              <w:t>Delegatie van bevoegdheden</w:t>
            </w:r>
          </w:p>
        </w:tc>
        <w:tc>
          <w:tcPr>
            <w:tcW w:w="949" w:type="dxa"/>
            <w:tcBorders>
              <w:top w:val="single" w:sz="12" w:space="0" w:color="auto"/>
              <w:right w:val="single" w:sz="12" w:space="0" w:color="auto"/>
            </w:tcBorders>
            <w:shd w:val="clear" w:color="auto" w:fill="auto"/>
          </w:tcPr>
          <w:p w14:paraId="12E289CB" w14:textId="77777777" w:rsidR="002A310E" w:rsidRDefault="00B844D1" w:rsidP="00193F8A">
            <w:r>
              <w:t>3</w:t>
            </w:r>
          </w:p>
        </w:tc>
      </w:tr>
      <w:tr w:rsidR="002A310E" w14:paraId="12E289CF" w14:textId="77777777" w:rsidTr="00180E29">
        <w:tc>
          <w:tcPr>
            <w:tcW w:w="6748" w:type="dxa"/>
            <w:tcBorders>
              <w:left w:val="single" w:sz="12" w:space="0" w:color="auto"/>
            </w:tcBorders>
            <w:shd w:val="clear" w:color="auto" w:fill="auto"/>
          </w:tcPr>
          <w:p w14:paraId="12E289CD" w14:textId="77777777" w:rsidR="002A310E" w:rsidRDefault="008A646F" w:rsidP="00193F8A">
            <w:r>
              <w:t>Projectbeheer en financieel beheer</w:t>
            </w:r>
          </w:p>
        </w:tc>
        <w:tc>
          <w:tcPr>
            <w:tcW w:w="949" w:type="dxa"/>
            <w:tcBorders>
              <w:right w:val="single" w:sz="12" w:space="0" w:color="auto"/>
            </w:tcBorders>
            <w:shd w:val="clear" w:color="auto" w:fill="auto"/>
          </w:tcPr>
          <w:p w14:paraId="12E289CE" w14:textId="77777777" w:rsidR="002A310E" w:rsidRDefault="00EF65F3" w:rsidP="00193F8A">
            <w:r>
              <w:t>2</w:t>
            </w:r>
          </w:p>
        </w:tc>
      </w:tr>
      <w:tr w:rsidR="002A310E" w14:paraId="12E289D2" w14:textId="77777777" w:rsidTr="00180E29">
        <w:tc>
          <w:tcPr>
            <w:tcW w:w="6748" w:type="dxa"/>
            <w:tcBorders>
              <w:left w:val="single" w:sz="12" w:space="0" w:color="auto"/>
            </w:tcBorders>
            <w:shd w:val="clear" w:color="auto" w:fill="auto"/>
          </w:tcPr>
          <w:p w14:paraId="12E289D0" w14:textId="77777777" w:rsidR="002A310E" w:rsidRDefault="008A646F" w:rsidP="00193F8A">
            <w:r>
              <w:t>Verantwoordelijkheden en bevoegdheden decentrale kantoren</w:t>
            </w:r>
          </w:p>
        </w:tc>
        <w:tc>
          <w:tcPr>
            <w:tcW w:w="949" w:type="dxa"/>
            <w:tcBorders>
              <w:right w:val="single" w:sz="12" w:space="0" w:color="auto"/>
            </w:tcBorders>
            <w:shd w:val="clear" w:color="auto" w:fill="auto"/>
          </w:tcPr>
          <w:p w14:paraId="12E289D1" w14:textId="77777777" w:rsidR="002A310E" w:rsidRDefault="00B844D1" w:rsidP="00193F8A">
            <w:r>
              <w:t>3</w:t>
            </w:r>
          </w:p>
        </w:tc>
      </w:tr>
      <w:tr w:rsidR="002A310E" w14:paraId="12E289D5" w14:textId="77777777" w:rsidTr="00180E29">
        <w:tc>
          <w:tcPr>
            <w:tcW w:w="6748" w:type="dxa"/>
            <w:tcBorders>
              <w:left w:val="single" w:sz="12" w:space="0" w:color="auto"/>
              <w:bottom w:val="single" w:sz="12" w:space="0" w:color="auto"/>
            </w:tcBorders>
            <w:shd w:val="clear" w:color="auto" w:fill="auto"/>
          </w:tcPr>
          <w:p w14:paraId="12E289D3" w14:textId="77777777" w:rsidR="002A310E" w:rsidRDefault="008A646F" w:rsidP="00193F8A">
            <w:r>
              <w:t>Gebruik van lokale partners en systemen</w:t>
            </w:r>
          </w:p>
        </w:tc>
        <w:tc>
          <w:tcPr>
            <w:tcW w:w="949" w:type="dxa"/>
            <w:tcBorders>
              <w:bottom w:val="single" w:sz="12" w:space="0" w:color="auto"/>
              <w:right w:val="single" w:sz="12" w:space="0" w:color="auto"/>
            </w:tcBorders>
            <w:shd w:val="clear" w:color="auto" w:fill="auto"/>
          </w:tcPr>
          <w:p w14:paraId="12E289D4" w14:textId="77777777" w:rsidR="002A310E" w:rsidRDefault="00B844D1" w:rsidP="00193F8A">
            <w:r>
              <w:t>3</w:t>
            </w:r>
          </w:p>
        </w:tc>
      </w:tr>
      <w:tr w:rsidR="002A310E" w:rsidRPr="00EA0AA8" w14:paraId="12E289D8" w14:textId="77777777" w:rsidTr="00180E29">
        <w:tc>
          <w:tcPr>
            <w:tcW w:w="6748" w:type="dxa"/>
            <w:tcBorders>
              <w:top w:val="single" w:sz="12" w:space="0" w:color="auto"/>
              <w:left w:val="single" w:sz="12" w:space="0" w:color="auto"/>
              <w:bottom w:val="single" w:sz="12" w:space="0" w:color="auto"/>
            </w:tcBorders>
            <w:shd w:val="clear" w:color="auto" w:fill="D0CECE"/>
          </w:tcPr>
          <w:p w14:paraId="12E289D6" w14:textId="77777777" w:rsidR="002A310E" w:rsidRPr="00EA0AA8" w:rsidRDefault="002A310E" w:rsidP="00193F8A">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12E289D7" w14:textId="77777777" w:rsidR="002A310E" w:rsidRPr="00EA0AA8" w:rsidRDefault="00B844D1" w:rsidP="00193F8A">
            <w:pPr>
              <w:rPr>
                <w:b/>
              </w:rPr>
            </w:pPr>
            <w:r>
              <w:rPr>
                <w:b/>
              </w:rPr>
              <w:t>3</w:t>
            </w:r>
          </w:p>
        </w:tc>
      </w:tr>
    </w:tbl>
    <w:p w14:paraId="79FB0AE3" w14:textId="77777777" w:rsidR="00E35711" w:rsidRDefault="00E35711" w:rsidP="00613336"/>
    <w:p w14:paraId="35D2E71A" w14:textId="19182FC5" w:rsidR="00613336" w:rsidRDefault="00613336" w:rsidP="00D24162">
      <w:pPr>
        <w:ind w:firstLine="227"/>
      </w:pPr>
      <w:r>
        <w:t xml:space="preserve">Verandering sinds 2015: neutraal </w:t>
      </w:r>
      <w:r w:rsidRPr="00193994">
        <w:t xml:space="preserve">= </w:t>
      </w:r>
      <w:r w:rsidRPr="00193994">
        <w:sym w:font="Wingdings" w:char="F0E8"/>
      </w:r>
    </w:p>
    <w:p w14:paraId="4FED47D8" w14:textId="77777777" w:rsidR="003F17A2" w:rsidRDefault="003F17A2" w:rsidP="00D24162">
      <w:pPr>
        <w:ind w:firstLine="227"/>
      </w:pPr>
    </w:p>
    <w:p w14:paraId="12E289DA" w14:textId="5EDD92A3" w:rsidR="003A32D7" w:rsidRDefault="00B3437D" w:rsidP="00193F8A">
      <w:pPr>
        <w:pStyle w:val="Heading2"/>
        <w:tabs>
          <w:tab w:val="left" w:pos="-1162"/>
          <w:tab w:val="left" w:pos="0"/>
          <w:tab w:val="num" w:pos="1160"/>
        </w:tabs>
        <w:spacing w:line="240" w:lineRule="atLeast"/>
        <w:ind w:hanging="1162"/>
        <w:rPr>
          <w:b w:val="0"/>
        </w:rPr>
      </w:pPr>
      <w:bookmarkStart w:id="47" w:name="_Toc473812727"/>
      <w:bookmarkStart w:id="48" w:name="_Toc491437689"/>
      <w:r>
        <w:t>4</w:t>
      </w:r>
      <w:r w:rsidR="00E276B2">
        <w:t>.</w:t>
      </w:r>
      <w:r w:rsidR="00A74DEC">
        <w:t>5</w:t>
      </w:r>
      <w:r w:rsidR="00E276B2">
        <w:tab/>
      </w:r>
      <w:r w:rsidR="003A32D7" w:rsidRPr="004D372F">
        <w:t>Beleidsevaluatie</w:t>
      </w:r>
      <w:bookmarkEnd w:id="47"/>
      <w:bookmarkEnd w:id="48"/>
    </w:p>
    <w:p w14:paraId="12E289DB" w14:textId="0701252E" w:rsidR="006C58CD" w:rsidRDefault="00A70508" w:rsidP="00193F8A">
      <w:r>
        <w:t xml:space="preserve">Het evaluatiebeleid van de IDBG is helder vastgelegd. </w:t>
      </w:r>
      <w:r w:rsidR="008E4B71">
        <w:t>Het onafhankelijke evaluatieorgaan</w:t>
      </w:r>
      <w:r w:rsidR="00FE56CE">
        <w:t xml:space="preserve"> OVE (</w:t>
      </w:r>
      <w:r w:rsidR="00FE56CE">
        <w:rPr>
          <w:i/>
        </w:rPr>
        <w:t>O</w:t>
      </w:r>
      <w:r w:rsidR="009677D2">
        <w:rPr>
          <w:i/>
        </w:rPr>
        <w:t xml:space="preserve">ffice of Evaluation and </w:t>
      </w:r>
      <w:r w:rsidR="009677D2" w:rsidRPr="00CC5BDA">
        <w:rPr>
          <w:i/>
        </w:rPr>
        <w:t>Oversight</w:t>
      </w:r>
      <w:r w:rsidR="009677D2">
        <w:t xml:space="preserve">) is verantwoordelijk voor evaluaties </w:t>
      </w:r>
      <w:r w:rsidR="00FE56CE">
        <w:t xml:space="preserve">van </w:t>
      </w:r>
      <w:r>
        <w:t xml:space="preserve">projecten, landenprogramma’s, sectors en thema’s en </w:t>
      </w:r>
      <w:r w:rsidR="00D22FD6">
        <w:t>operationeel beheer</w:t>
      </w:r>
      <w:r w:rsidR="009677D2">
        <w:t xml:space="preserve">. </w:t>
      </w:r>
      <w:r>
        <w:t>Het jaarlijkse programma van de OVE wordt vastgesteld d</w:t>
      </w:r>
      <w:r w:rsidR="00D22FD6">
        <w:t xml:space="preserve">oor de Raad van Bewindvoerders in </w:t>
      </w:r>
      <w:r w:rsidR="00D22FD6">
        <w:rPr>
          <w:i/>
        </w:rPr>
        <w:t>OVE’s Work Program and Budget.</w:t>
      </w:r>
      <w:r w:rsidR="002B48CD">
        <w:rPr>
          <w:i/>
        </w:rPr>
        <w:t xml:space="preserve"> </w:t>
      </w:r>
      <w:r w:rsidR="005969E9">
        <w:t xml:space="preserve">Het OVE brengt een jaarrapport uit met hierin een overzicht van de uitgevoerde evaluaties. </w:t>
      </w:r>
      <w:r w:rsidR="006C58CD">
        <w:t xml:space="preserve">Ze rapporteren </w:t>
      </w:r>
      <w:r w:rsidR="006C58CD" w:rsidRPr="00D65CC5">
        <w:t xml:space="preserve">direct aan </w:t>
      </w:r>
      <w:r w:rsidR="006C58CD">
        <w:t>de Raad</w:t>
      </w:r>
      <w:r w:rsidR="006C58CD" w:rsidRPr="00D65CC5">
        <w:t xml:space="preserve"> van Bewindvoerders</w:t>
      </w:r>
      <w:r w:rsidR="006C58CD">
        <w:t xml:space="preserve"> om zodoende onafhankelijkheid te waarborgen</w:t>
      </w:r>
      <w:r w:rsidR="005969E9">
        <w:t>.</w:t>
      </w:r>
    </w:p>
    <w:p w14:paraId="12E289DC" w14:textId="77777777" w:rsidR="008502F4" w:rsidRDefault="008502F4" w:rsidP="00193F8A"/>
    <w:p w14:paraId="12E289DD" w14:textId="73A4E52F" w:rsidR="008502F4" w:rsidRDefault="008502F4" w:rsidP="00193F8A">
      <w:r>
        <w:t>De reikwijdte en relevan</w:t>
      </w:r>
      <w:r w:rsidR="00A9474C">
        <w:t>tie van de uitgevoerde evaluatieprojecten</w:t>
      </w:r>
      <w:r w:rsidR="00195B84">
        <w:t xml:space="preserve"> zorgen in voldoende mate voor een beeld van het functioneren van de Bank. In 2015 werd </w:t>
      </w:r>
      <w:r>
        <w:t xml:space="preserve">51% van de projecten voorzien van een impactevaluatie. Deze evaluaties vormen een deel van de projectuitvoering en </w:t>
      </w:r>
      <w:r w:rsidR="00A9474C">
        <w:t>richten zich op</w:t>
      </w:r>
      <w:r>
        <w:t xml:space="preserve"> </w:t>
      </w:r>
      <w:r w:rsidR="002D44B0">
        <w:t xml:space="preserve">de </w:t>
      </w:r>
      <w:r>
        <w:t xml:space="preserve">output, de resultaten via het projectmonitoringssysteem en na afloop van het project ook </w:t>
      </w:r>
      <w:r w:rsidR="00A9474C">
        <w:t>op</w:t>
      </w:r>
      <w:r>
        <w:t xml:space="preserve"> de impact. </w:t>
      </w:r>
      <w:r w:rsidR="00A9474C">
        <w:t>Deze impactevaluaties</w:t>
      </w:r>
      <w:r w:rsidR="004F029E">
        <w:t xml:space="preserve"> zijn echter geen OVE-evaluaties,</w:t>
      </w:r>
      <w:r w:rsidR="00195B84">
        <w:t xml:space="preserve"> welke in</w:t>
      </w:r>
      <w:r w:rsidR="004F029E">
        <w:t xml:space="preserve"> beginsel een onafhankelijke check</w:t>
      </w:r>
      <w:r w:rsidR="00195B84">
        <w:t xml:space="preserve"> vormen</w:t>
      </w:r>
      <w:r w:rsidR="002D44B0">
        <w:t>,</w:t>
      </w:r>
      <w:r w:rsidR="004F029E">
        <w:t xml:space="preserve"> maar OVE be</w:t>
      </w:r>
      <w:r w:rsidR="00A9474C">
        <w:t xml:space="preserve">trekt informatie uit deze </w:t>
      </w:r>
      <w:r w:rsidR="004F029E">
        <w:t xml:space="preserve">evaluaties. </w:t>
      </w:r>
    </w:p>
    <w:p w14:paraId="12E289DE" w14:textId="77777777" w:rsidR="004F029E" w:rsidRDefault="004F029E" w:rsidP="00193F8A"/>
    <w:p w14:paraId="12E289DF" w14:textId="67AC8AAB" w:rsidR="004F029E" w:rsidRPr="00215005" w:rsidRDefault="00F63FB6" w:rsidP="00193F8A">
      <w:r w:rsidRPr="00215005">
        <w:t xml:space="preserve">Sinds 2013 heeft de IDB een </w:t>
      </w:r>
      <w:r w:rsidR="00D22FD6">
        <w:t xml:space="preserve">helder </w:t>
      </w:r>
      <w:r w:rsidRPr="00215005">
        <w:t>systeem dat meet hoe de aanbevelingen van OVE worden opgevolgd</w:t>
      </w:r>
      <w:r w:rsidR="00733B33">
        <w:t xml:space="preserve">, het </w:t>
      </w:r>
      <w:r w:rsidR="00733B33">
        <w:rPr>
          <w:i/>
        </w:rPr>
        <w:t>Evaluation Recommendation Tracking System</w:t>
      </w:r>
      <w:r w:rsidRPr="00215005">
        <w:t xml:space="preserve">. </w:t>
      </w:r>
      <w:r w:rsidR="00733B33">
        <w:t xml:space="preserve">Management is verplicht om een actieplan te schrijven voor elke OVE-aanbeveling </w:t>
      </w:r>
      <w:r w:rsidR="007A2AC8">
        <w:t xml:space="preserve">dat wordt </w:t>
      </w:r>
      <w:r w:rsidR="00733B33">
        <w:t>gesteund door de Board</w:t>
      </w:r>
      <w:r w:rsidR="00892874">
        <w:t>. OVE heeft de uiteindel</w:t>
      </w:r>
      <w:r w:rsidR="00D22FD6">
        <w:t>ijke implementatie van 74 actie</w:t>
      </w:r>
      <w:r w:rsidR="00892874">
        <w:t>plannen gevolgd en concludeert dat 60 plannen op schema lopen</w:t>
      </w:r>
      <w:r w:rsidR="001F0FF5">
        <w:t>.</w:t>
      </w:r>
      <w:r w:rsidR="00733B33">
        <w:t xml:space="preserve"> </w:t>
      </w:r>
      <w:r w:rsidR="00892874">
        <w:t>Mede door dit systeem</w:t>
      </w:r>
      <w:r w:rsidRPr="00215005">
        <w:t xml:space="preserve"> worden aanbevel</w:t>
      </w:r>
      <w:r w:rsidR="00884FE3">
        <w:t>ingen nu structureler opgevolgd</w:t>
      </w:r>
      <w:r w:rsidRPr="00215005">
        <w:t xml:space="preserve">. </w:t>
      </w:r>
    </w:p>
    <w:p w14:paraId="12E289E0" w14:textId="77777777" w:rsidR="006F01F3" w:rsidRPr="006F01F3" w:rsidRDefault="006F01F3" w:rsidP="00193F8A">
      <w:pPr>
        <w:ind w:left="227"/>
        <w:rPr>
          <w:color w:val="A6A6A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12E289E3" w14:textId="77777777" w:rsidTr="00B06CE6">
        <w:tc>
          <w:tcPr>
            <w:tcW w:w="6912" w:type="dxa"/>
            <w:tcBorders>
              <w:top w:val="single" w:sz="12" w:space="0" w:color="auto"/>
              <w:left w:val="single" w:sz="12" w:space="0" w:color="auto"/>
              <w:bottom w:val="single" w:sz="12" w:space="0" w:color="auto"/>
            </w:tcBorders>
            <w:shd w:val="clear" w:color="auto" w:fill="D0CECE"/>
          </w:tcPr>
          <w:p w14:paraId="12E289E1" w14:textId="77777777" w:rsidR="002A310E" w:rsidRPr="00EA0AA8" w:rsidRDefault="002A310E" w:rsidP="00193F8A">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12E289E2" w14:textId="77777777" w:rsidR="002A310E" w:rsidRPr="00EA0AA8" w:rsidRDefault="002A310E" w:rsidP="00193F8A">
            <w:pPr>
              <w:rPr>
                <w:b/>
              </w:rPr>
            </w:pPr>
            <w:r w:rsidRPr="00EA0AA8">
              <w:rPr>
                <w:b/>
              </w:rPr>
              <w:t>Score</w:t>
            </w:r>
          </w:p>
        </w:tc>
      </w:tr>
      <w:tr w:rsidR="002A310E" w14:paraId="12E289E6" w14:textId="77777777" w:rsidTr="00382AE3">
        <w:tc>
          <w:tcPr>
            <w:tcW w:w="6912" w:type="dxa"/>
            <w:tcBorders>
              <w:top w:val="single" w:sz="12" w:space="0" w:color="auto"/>
              <w:left w:val="single" w:sz="12" w:space="0" w:color="auto"/>
            </w:tcBorders>
            <w:shd w:val="clear" w:color="auto" w:fill="auto"/>
          </w:tcPr>
          <w:p w14:paraId="12E289E4" w14:textId="77777777" w:rsidR="002A310E" w:rsidRDefault="008A646F" w:rsidP="00193F8A">
            <w:r>
              <w:t>Helder vastgelegd evaluatiebeleid</w:t>
            </w:r>
          </w:p>
        </w:tc>
        <w:tc>
          <w:tcPr>
            <w:tcW w:w="955" w:type="dxa"/>
            <w:tcBorders>
              <w:top w:val="single" w:sz="12" w:space="0" w:color="auto"/>
              <w:right w:val="single" w:sz="12" w:space="0" w:color="auto"/>
            </w:tcBorders>
            <w:shd w:val="clear" w:color="auto" w:fill="auto"/>
          </w:tcPr>
          <w:p w14:paraId="12E289E5" w14:textId="77777777" w:rsidR="002A310E" w:rsidRDefault="006F01F3" w:rsidP="00193F8A">
            <w:r>
              <w:t>4</w:t>
            </w:r>
          </w:p>
        </w:tc>
      </w:tr>
      <w:tr w:rsidR="002A310E" w14:paraId="12E289E9" w14:textId="77777777" w:rsidTr="00382AE3">
        <w:tc>
          <w:tcPr>
            <w:tcW w:w="6912" w:type="dxa"/>
            <w:tcBorders>
              <w:left w:val="single" w:sz="12" w:space="0" w:color="auto"/>
            </w:tcBorders>
            <w:shd w:val="clear" w:color="auto" w:fill="auto"/>
          </w:tcPr>
          <w:p w14:paraId="12E289E7" w14:textId="77777777" w:rsidR="002A310E" w:rsidRDefault="008A646F" w:rsidP="00193F8A">
            <w:r>
              <w:t>Inrichting evaluatiefunctie</w:t>
            </w:r>
          </w:p>
        </w:tc>
        <w:tc>
          <w:tcPr>
            <w:tcW w:w="955" w:type="dxa"/>
            <w:tcBorders>
              <w:right w:val="single" w:sz="12" w:space="0" w:color="auto"/>
            </w:tcBorders>
            <w:shd w:val="clear" w:color="auto" w:fill="auto"/>
          </w:tcPr>
          <w:p w14:paraId="12E289E8" w14:textId="77777777" w:rsidR="002A310E" w:rsidRDefault="006F01F3" w:rsidP="00193F8A">
            <w:r>
              <w:t>3</w:t>
            </w:r>
          </w:p>
        </w:tc>
      </w:tr>
      <w:tr w:rsidR="002A310E" w14:paraId="12E289EC" w14:textId="77777777" w:rsidTr="00382AE3">
        <w:tc>
          <w:tcPr>
            <w:tcW w:w="6912" w:type="dxa"/>
            <w:tcBorders>
              <w:left w:val="single" w:sz="12" w:space="0" w:color="auto"/>
            </w:tcBorders>
            <w:shd w:val="clear" w:color="auto" w:fill="auto"/>
          </w:tcPr>
          <w:p w14:paraId="12E289EA" w14:textId="77777777" w:rsidR="002A310E" w:rsidRDefault="008A646F" w:rsidP="00193F8A">
            <w:r>
              <w:t>Onafhankelijkheid eval</w:t>
            </w:r>
            <w:r w:rsidR="00537DB3">
              <w:t>uatie-</w:t>
            </w:r>
            <w:r>
              <w:t>eenheid</w:t>
            </w:r>
          </w:p>
        </w:tc>
        <w:tc>
          <w:tcPr>
            <w:tcW w:w="955" w:type="dxa"/>
            <w:tcBorders>
              <w:right w:val="single" w:sz="12" w:space="0" w:color="auto"/>
            </w:tcBorders>
            <w:shd w:val="clear" w:color="auto" w:fill="auto"/>
          </w:tcPr>
          <w:p w14:paraId="12E289EB" w14:textId="77777777" w:rsidR="002A310E" w:rsidRDefault="005969E9" w:rsidP="00193F8A">
            <w:r>
              <w:t>3</w:t>
            </w:r>
          </w:p>
        </w:tc>
      </w:tr>
      <w:tr w:rsidR="00AA4C2B" w14:paraId="12E289EF" w14:textId="77777777" w:rsidTr="00382AE3">
        <w:tc>
          <w:tcPr>
            <w:tcW w:w="6912" w:type="dxa"/>
            <w:tcBorders>
              <w:left w:val="single" w:sz="12" w:space="0" w:color="auto"/>
            </w:tcBorders>
            <w:shd w:val="clear" w:color="auto" w:fill="auto"/>
          </w:tcPr>
          <w:p w14:paraId="12E289ED" w14:textId="77777777" w:rsidR="00AA4C2B" w:rsidRDefault="00AA4C2B" w:rsidP="00193F8A">
            <w:r>
              <w:t>Reikwijdte en relevantie evaluaties</w:t>
            </w:r>
          </w:p>
        </w:tc>
        <w:tc>
          <w:tcPr>
            <w:tcW w:w="955" w:type="dxa"/>
            <w:tcBorders>
              <w:right w:val="single" w:sz="12" w:space="0" w:color="auto"/>
            </w:tcBorders>
            <w:shd w:val="clear" w:color="auto" w:fill="auto"/>
          </w:tcPr>
          <w:p w14:paraId="12E289EE" w14:textId="77777777" w:rsidR="00AA4C2B" w:rsidRDefault="00F63FB6" w:rsidP="00193F8A">
            <w:r>
              <w:t>3</w:t>
            </w:r>
          </w:p>
        </w:tc>
      </w:tr>
      <w:tr w:rsidR="002A310E" w14:paraId="12E289F2" w14:textId="77777777" w:rsidTr="00382AE3">
        <w:tc>
          <w:tcPr>
            <w:tcW w:w="6912" w:type="dxa"/>
            <w:tcBorders>
              <w:left w:val="single" w:sz="12" w:space="0" w:color="auto"/>
              <w:bottom w:val="single" w:sz="12" w:space="0" w:color="auto"/>
            </w:tcBorders>
            <w:shd w:val="clear" w:color="auto" w:fill="auto"/>
          </w:tcPr>
          <w:p w14:paraId="12E289F0" w14:textId="77777777" w:rsidR="002A310E" w:rsidRDefault="008A646F" w:rsidP="00193F8A">
            <w:r>
              <w:t>Follow up aanbevelingen evaluaties</w:t>
            </w:r>
          </w:p>
        </w:tc>
        <w:tc>
          <w:tcPr>
            <w:tcW w:w="955" w:type="dxa"/>
            <w:tcBorders>
              <w:bottom w:val="single" w:sz="12" w:space="0" w:color="auto"/>
              <w:right w:val="single" w:sz="12" w:space="0" w:color="auto"/>
            </w:tcBorders>
            <w:shd w:val="clear" w:color="auto" w:fill="auto"/>
          </w:tcPr>
          <w:p w14:paraId="12E289F1" w14:textId="77777777" w:rsidR="002A310E" w:rsidRDefault="00F63FB6" w:rsidP="00193F8A">
            <w:r>
              <w:t>4</w:t>
            </w:r>
          </w:p>
        </w:tc>
      </w:tr>
      <w:tr w:rsidR="002A310E" w:rsidRPr="00EA0AA8" w14:paraId="12E289F5" w14:textId="77777777" w:rsidTr="00B06CE6">
        <w:tc>
          <w:tcPr>
            <w:tcW w:w="6912" w:type="dxa"/>
            <w:tcBorders>
              <w:top w:val="single" w:sz="12" w:space="0" w:color="auto"/>
              <w:left w:val="single" w:sz="12" w:space="0" w:color="auto"/>
              <w:bottom w:val="single" w:sz="12" w:space="0" w:color="auto"/>
            </w:tcBorders>
            <w:shd w:val="clear" w:color="auto" w:fill="D0CECE"/>
          </w:tcPr>
          <w:p w14:paraId="12E289F3" w14:textId="77777777" w:rsidR="002A310E" w:rsidRPr="00EA0AA8" w:rsidRDefault="002A310E" w:rsidP="00193F8A">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2E289F4" w14:textId="77777777" w:rsidR="002A310E" w:rsidRPr="00EA0AA8" w:rsidRDefault="00DB29E1" w:rsidP="00193F8A">
            <w:pPr>
              <w:rPr>
                <w:b/>
              </w:rPr>
            </w:pPr>
            <w:r>
              <w:rPr>
                <w:b/>
              </w:rPr>
              <w:t>3</w:t>
            </w:r>
          </w:p>
        </w:tc>
      </w:tr>
    </w:tbl>
    <w:p w14:paraId="25DD7D50" w14:textId="77777777" w:rsidR="00E35711" w:rsidRDefault="00E35711" w:rsidP="00193F8A"/>
    <w:p w14:paraId="12E289F6" w14:textId="2D342F49" w:rsidR="00E20A86" w:rsidRDefault="00D32F98" w:rsidP="003162E3">
      <w:pPr>
        <w:ind w:firstLine="227"/>
      </w:pPr>
      <w:r w:rsidRPr="00193994">
        <w:t>Ver</w:t>
      </w:r>
      <w:r>
        <w:t>andering sinds 2015: neutraal</w:t>
      </w:r>
      <w:r w:rsidRPr="00193994">
        <w:t xml:space="preserve"> = </w:t>
      </w:r>
      <w:r w:rsidRPr="00193994">
        <w:sym w:font="Wingdings" w:char="F0E8"/>
      </w:r>
    </w:p>
    <w:p w14:paraId="4606C77B" w14:textId="1ABF6247" w:rsidR="003F17A2" w:rsidRDefault="003F17A2" w:rsidP="003162E3">
      <w:pPr>
        <w:ind w:firstLine="227"/>
      </w:pPr>
    </w:p>
    <w:p w14:paraId="3B29FB62" w14:textId="77777777" w:rsidR="006429ED" w:rsidRDefault="006429ED" w:rsidP="003162E3">
      <w:pPr>
        <w:ind w:firstLine="227"/>
      </w:pPr>
    </w:p>
    <w:p w14:paraId="12E289F7" w14:textId="43F51BDD" w:rsidR="00DE343C" w:rsidRDefault="00B3437D" w:rsidP="00193F8A">
      <w:pPr>
        <w:pStyle w:val="Heading2"/>
        <w:tabs>
          <w:tab w:val="left" w:pos="-1162"/>
          <w:tab w:val="left" w:pos="0"/>
          <w:tab w:val="num" w:pos="1160"/>
        </w:tabs>
        <w:spacing w:line="240" w:lineRule="atLeast"/>
        <w:ind w:hanging="1162"/>
      </w:pPr>
      <w:bookmarkStart w:id="49" w:name="_Toc348364671"/>
      <w:bookmarkStart w:id="50" w:name="_Toc473812728"/>
      <w:bookmarkStart w:id="51" w:name="_Toc491437690"/>
      <w:r>
        <w:lastRenderedPageBreak/>
        <w:t>4</w:t>
      </w:r>
      <w:r w:rsidR="004D372F" w:rsidRPr="004D372F">
        <w:t>.</w:t>
      </w:r>
      <w:r w:rsidR="00A74DEC">
        <w:t>6</w:t>
      </w:r>
      <w:r w:rsidR="004D372F">
        <w:tab/>
      </w:r>
      <w:r w:rsidR="00DE343C" w:rsidRPr="004D372F">
        <w:t>Human Resource Management</w:t>
      </w:r>
      <w:bookmarkEnd w:id="49"/>
      <w:bookmarkEnd w:id="50"/>
      <w:bookmarkEnd w:id="51"/>
    </w:p>
    <w:p w14:paraId="12E289F8" w14:textId="6C91D158" w:rsidR="00E15DEF" w:rsidRPr="00193F8A" w:rsidRDefault="006F20CD" w:rsidP="00193F8A">
      <w:r w:rsidRPr="006F20CD">
        <w:t xml:space="preserve">In </w:t>
      </w:r>
      <w:r w:rsidR="00A9474C">
        <w:t xml:space="preserve">haar </w:t>
      </w:r>
      <w:r w:rsidRPr="006F20CD">
        <w:t>H</w:t>
      </w:r>
      <w:r w:rsidR="00E15DEF">
        <w:t xml:space="preserve">uman Resource Management is de </w:t>
      </w:r>
      <w:r w:rsidR="009D1723">
        <w:t>Bank</w:t>
      </w:r>
      <w:r>
        <w:t xml:space="preserve"> </w:t>
      </w:r>
      <w:r w:rsidRPr="006F20CD">
        <w:t>zoekende naar een optimale bal</w:t>
      </w:r>
      <w:r>
        <w:t>a</w:t>
      </w:r>
      <w:r w:rsidRPr="006F20CD">
        <w:t xml:space="preserve">ns </w:t>
      </w:r>
      <w:r>
        <w:t>tussen vaste</w:t>
      </w:r>
      <w:r w:rsidR="00DB29E1">
        <w:t xml:space="preserve"> staf en tijdelijke contracten</w:t>
      </w:r>
      <w:r w:rsidR="002B48CD">
        <w:t xml:space="preserve">. </w:t>
      </w:r>
      <w:r w:rsidR="00B3731D">
        <w:t xml:space="preserve">De </w:t>
      </w:r>
      <w:r w:rsidR="009D1723">
        <w:t>Bank</w:t>
      </w:r>
      <w:r w:rsidR="00B3731D">
        <w:t xml:space="preserve"> heeft ee</w:t>
      </w:r>
      <w:r w:rsidR="00E15DEF">
        <w:t>n streng maximum aan vaste stafleden</w:t>
      </w:r>
      <w:r w:rsidR="00B3731D">
        <w:t xml:space="preserve"> waardoor ze </w:t>
      </w:r>
      <w:r w:rsidR="00A9474C">
        <w:t xml:space="preserve">momenteel </w:t>
      </w:r>
      <w:r w:rsidR="002F16AC">
        <w:t>toegewezen is</w:t>
      </w:r>
      <w:r w:rsidR="00260005">
        <w:t xml:space="preserve"> </w:t>
      </w:r>
      <w:r w:rsidR="002F16AC">
        <w:t>op</w:t>
      </w:r>
      <w:r w:rsidR="00B3731D">
        <w:t xml:space="preserve"> </w:t>
      </w:r>
      <w:r w:rsidR="002F16AC">
        <w:t xml:space="preserve">een sterk toegenomen aantal </w:t>
      </w:r>
      <w:r w:rsidR="00B3731D">
        <w:t>consultants</w:t>
      </w:r>
      <w:r w:rsidR="001F0FF5">
        <w:t>.</w:t>
      </w:r>
      <w:r w:rsidR="00B3731D">
        <w:t xml:space="preserve"> </w:t>
      </w:r>
      <w:r w:rsidR="00193F8A">
        <w:t xml:space="preserve">Momenteel werkt de </w:t>
      </w:r>
      <w:r w:rsidR="009D1723">
        <w:t>Bank</w:t>
      </w:r>
      <w:r w:rsidR="00193F8A">
        <w:t xml:space="preserve"> aan een </w:t>
      </w:r>
      <w:r w:rsidR="00193F8A">
        <w:rPr>
          <w:i/>
        </w:rPr>
        <w:t>Human Capital Strategy Update</w:t>
      </w:r>
      <w:r w:rsidR="0070239E">
        <w:rPr>
          <w:i/>
        </w:rPr>
        <w:t>,</w:t>
      </w:r>
      <w:r w:rsidR="00193F8A">
        <w:rPr>
          <w:i/>
        </w:rPr>
        <w:t xml:space="preserve"> </w:t>
      </w:r>
      <w:r w:rsidR="00193F8A">
        <w:t xml:space="preserve">het </w:t>
      </w:r>
      <w:r w:rsidR="00AC339A">
        <w:t>verbeteren</w:t>
      </w:r>
      <w:r w:rsidR="00193F8A">
        <w:t xml:space="preserve"> van de </w:t>
      </w:r>
      <w:r w:rsidR="00193F8A">
        <w:rPr>
          <w:i/>
        </w:rPr>
        <w:t xml:space="preserve">headcount </w:t>
      </w:r>
      <w:r w:rsidR="00193F8A">
        <w:t xml:space="preserve">methodologie speelt hierin een cruciale rol. </w:t>
      </w:r>
    </w:p>
    <w:p w14:paraId="12E289F9" w14:textId="77777777" w:rsidR="00A9474C" w:rsidRDefault="00A9474C" w:rsidP="00193F8A"/>
    <w:p w14:paraId="12E289FA" w14:textId="536E0ED5" w:rsidR="0025704A" w:rsidRPr="002D7167" w:rsidRDefault="00C74A5D" w:rsidP="00193F8A">
      <w:pPr>
        <w:pStyle w:val="PlainText"/>
        <w:spacing w:line="240" w:lineRule="atLeast"/>
      </w:pPr>
      <w:r w:rsidRPr="00C74A5D">
        <w:rPr>
          <w:rFonts w:ascii="Verdana" w:hAnsi="Verdana"/>
          <w:sz w:val="18"/>
          <w:szCs w:val="18"/>
        </w:rPr>
        <w:t xml:space="preserve">De IDB heeft </w:t>
      </w:r>
      <w:r w:rsidR="00EE2FE6">
        <w:rPr>
          <w:rFonts w:ascii="Verdana" w:hAnsi="Verdana"/>
          <w:sz w:val="18"/>
          <w:szCs w:val="18"/>
        </w:rPr>
        <w:t>een mobiliteitsstrategie</w:t>
      </w:r>
      <w:r w:rsidRPr="00C74A5D">
        <w:rPr>
          <w:rFonts w:ascii="Verdana" w:hAnsi="Verdana"/>
          <w:sz w:val="18"/>
          <w:szCs w:val="18"/>
        </w:rPr>
        <w:t xml:space="preserve"> </w:t>
      </w:r>
      <w:r w:rsidR="002D44B0">
        <w:rPr>
          <w:rFonts w:ascii="Verdana" w:hAnsi="Verdana"/>
          <w:sz w:val="18"/>
          <w:szCs w:val="18"/>
        </w:rPr>
        <w:t xml:space="preserve">waarin ze de </w:t>
      </w:r>
      <w:r w:rsidR="00DB29E1">
        <w:rPr>
          <w:rFonts w:ascii="Verdana" w:hAnsi="Verdana"/>
          <w:sz w:val="18"/>
          <w:szCs w:val="18"/>
        </w:rPr>
        <w:t>carrièreontwikkeling</w:t>
      </w:r>
      <w:r w:rsidR="00EE2FE6">
        <w:rPr>
          <w:rFonts w:ascii="Verdana" w:hAnsi="Verdana"/>
          <w:sz w:val="18"/>
          <w:szCs w:val="18"/>
        </w:rPr>
        <w:t xml:space="preserve"> van werknemers </w:t>
      </w:r>
      <w:r w:rsidR="00AC339A">
        <w:rPr>
          <w:rFonts w:ascii="Verdana" w:hAnsi="Verdana"/>
          <w:sz w:val="18"/>
          <w:szCs w:val="18"/>
        </w:rPr>
        <w:t>stimuleert</w:t>
      </w:r>
      <w:r w:rsidR="00EE2FE6">
        <w:rPr>
          <w:rFonts w:ascii="Verdana" w:hAnsi="Verdana"/>
          <w:sz w:val="18"/>
          <w:szCs w:val="18"/>
        </w:rPr>
        <w:t xml:space="preserve"> </w:t>
      </w:r>
      <w:r w:rsidR="00DB29E1">
        <w:rPr>
          <w:rFonts w:ascii="Verdana" w:hAnsi="Verdana"/>
          <w:sz w:val="18"/>
          <w:szCs w:val="18"/>
        </w:rPr>
        <w:t>en verder</w:t>
      </w:r>
      <w:r w:rsidR="002D44B0">
        <w:rPr>
          <w:rFonts w:ascii="Verdana" w:hAnsi="Verdana"/>
          <w:sz w:val="18"/>
          <w:szCs w:val="18"/>
        </w:rPr>
        <w:t xml:space="preserve"> </w:t>
      </w:r>
      <w:r w:rsidR="00AC339A">
        <w:rPr>
          <w:rFonts w:ascii="Verdana" w:hAnsi="Verdana"/>
          <w:sz w:val="18"/>
          <w:szCs w:val="18"/>
        </w:rPr>
        <w:t>aanscherpt</w:t>
      </w:r>
      <w:r w:rsidRPr="00C74A5D">
        <w:rPr>
          <w:rFonts w:ascii="Verdana" w:hAnsi="Verdana"/>
          <w:sz w:val="18"/>
          <w:szCs w:val="18"/>
        </w:rPr>
        <w:t xml:space="preserve"> aan de behoeftes van de </w:t>
      </w:r>
      <w:r w:rsidR="009D1723">
        <w:rPr>
          <w:rFonts w:ascii="Verdana" w:hAnsi="Verdana"/>
          <w:sz w:val="18"/>
          <w:szCs w:val="18"/>
        </w:rPr>
        <w:t>Bank</w:t>
      </w:r>
      <w:r w:rsidR="00EE2FE6">
        <w:rPr>
          <w:rFonts w:ascii="Verdana" w:hAnsi="Verdana"/>
          <w:sz w:val="18"/>
          <w:szCs w:val="18"/>
        </w:rPr>
        <w:t xml:space="preserve">. Verder is de </w:t>
      </w:r>
      <w:r w:rsidR="009D1723">
        <w:rPr>
          <w:rFonts w:ascii="Verdana" w:hAnsi="Verdana"/>
          <w:sz w:val="18"/>
          <w:szCs w:val="18"/>
        </w:rPr>
        <w:t>Bank</w:t>
      </w:r>
      <w:r w:rsidR="00EE2FE6">
        <w:rPr>
          <w:rFonts w:ascii="Verdana" w:hAnsi="Verdana"/>
          <w:sz w:val="18"/>
          <w:szCs w:val="18"/>
        </w:rPr>
        <w:t xml:space="preserve"> zich bewust van </w:t>
      </w:r>
      <w:r w:rsidR="002D44B0">
        <w:rPr>
          <w:rFonts w:ascii="Verdana" w:hAnsi="Verdana"/>
          <w:sz w:val="18"/>
          <w:szCs w:val="18"/>
        </w:rPr>
        <w:t>het nut van een</w:t>
      </w:r>
      <w:r w:rsidR="00EE2FE6">
        <w:rPr>
          <w:rFonts w:ascii="Verdana" w:hAnsi="Verdana"/>
          <w:sz w:val="18"/>
          <w:szCs w:val="18"/>
        </w:rPr>
        <w:t xml:space="preserve"> </w:t>
      </w:r>
      <w:r w:rsidRPr="00C74A5D">
        <w:rPr>
          <w:rFonts w:ascii="Verdana" w:hAnsi="Verdana"/>
          <w:sz w:val="18"/>
          <w:szCs w:val="18"/>
        </w:rPr>
        <w:t>overheveling van kennis, kun</w:t>
      </w:r>
      <w:r w:rsidR="0070239E">
        <w:rPr>
          <w:rFonts w:ascii="Verdana" w:hAnsi="Verdana"/>
          <w:sz w:val="18"/>
          <w:szCs w:val="18"/>
        </w:rPr>
        <w:t>de</w:t>
      </w:r>
      <w:r w:rsidRPr="00C74A5D">
        <w:rPr>
          <w:rFonts w:ascii="Verdana" w:hAnsi="Verdana"/>
          <w:sz w:val="18"/>
          <w:szCs w:val="18"/>
        </w:rPr>
        <w:t xml:space="preserve"> en erv</w:t>
      </w:r>
      <w:r w:rsidR="00EE2FE6">
        <w:rPr>
          <w:rFonts w:ascii="Verdana" w:hAnsi="Verdana"/>
          <w:sz w:val="18"/>
          <w:szCs w:val="18"/>
        </w:rPr>
        <w:t>aring naar landenkantoren. D</w:t>
      </w:r>
      <w:r w:rsidRPr="00C74A5D">
        <w:rPr>
          <w:rFonts w:ascii="Verdana" w:hAnsi="Verdana"/>
          <w:sz w:val="18"/>
          <w:szCs w:val="18"/>
        </w:rPr>
        <w:t xml:space="preserve">e </w:t>
      </w:r>
      <w:r w:rsidR="00FB5C67">
        <w:rPr>
          <w:rFonts w:ascii="Verdana" w:hAnsi="Verdana"/>
          <w:sz w:val="18"/>
          <w:szCs w:val="18"/>
        </w:rPr>
        <w:t xml:space="preserve">huidige </w:t>
      </w:r>
      <w:r w:rsidRPr="00C74A5D">
        <w:rPr>
          <w:rFonts w:ascii="Verdana" w:hAnsi="Verdana"/>
          <w:sz w:val="18"/>
          <w:szCs w:val="18"/>
        </w:rPr>
        <w:t xml:space="preserve">strategie geeft </w:t>
      </w:r>
      <w:r w:rsidR="00EE2FE6">
        <w:rPr>
          <w:rFonts w:ascii="Verdana" w:hAnsi="Verdana"/>
          <w:sz w:val="18"/>
          <w:szCs w:val="18"/>
        </w:rPr>
        <w:t xml:space="preserve">echter </w:t>
      </w:r>
      <w:r w:rsidRPr="00C74A5D">
        <w:rPr>
          <w:rFonts w:ascii="Verdana" w:hAnsi="Verdana"/>
          <w:sz w:val="18"/>
          <w:szCs w:val="18"/>
        </w:rPr>
        <w:t xml:space="preserve">geen duidelijke </w:t>
      </w:r>
      <w:r w:rsidR="006F33F9" w:rsidRPr="004D5FC0">
        <w:rPr>
          <w:rFonts w:ascii="Verdana" w:hAnsi="Verdana"/>
          <w:i/>
          <w:sz w:val="18"/>
          <w:szCs w:val="18"/>
        </w:rPr>
        <w:t>incentives</w:t>
      </w:r>
      <w:r w:rsidRPr="00C74A5D">
        <w:rPr>
          <w:rFonts w:ascii="Verdana" w:hAnsi="Verdana"/>
          <w:sz w:val="18"/>
          <w:szCs w:val="18"/>
        </w:rPr>
        <w:t xml:space="preserve"> om een ‘zijwaartse’ overstap te maken naar andere landenkantoren</w:t>
      </w:r>
      <w:r w:rsidR="00106C39">
        <w:rPr>
          <w:rFonts w:ascii="Verdana" w:hAnsi="Verdana"/>
          <w:sz w:val="18"/>
          <w:szCs w:val="18"/>
        </w:rPr>
        <w:t>.</w:t>
      </w:r>
      <w:r w:rsidR="00106C39" w:rsidRPr="00106C39">
        <w:rPr>
          <w:rFonts w:ascii="Verdana" w:hAnsi="Verdana"/>
          <w:color w:val="FF0000"/>
          <w:sz w:val="18"/>
          <w:szCs w:val="18"/>
        </w:rPr>
        <w:t xml:space="preserve"> </w:t>
      </w:r>
      <w:r w:rsidR="00106C39" w:rsidRPr="002D7167">
        <w:rPr>
          <w:rFonts w:ascii="Verdana" w:hAnsi="Verdana"/>
          <w:sz w:val="18"/>
          <w:szCs w:val="18"/>
        </w:rPr>
        <w:t>Werknemers komen en gaan voornamelijk naar de private sector (38%) en de internationale publieke sector (35%).</w:t>
      </w:r>
      <w:r w:rsidR="00D22FD6">
        <w:rPr>
          <w:rFonts w:ascii="Verdana" w:hAnsi="Verdana"/>
          <w:sz w:val="18"/>
          <w:szCs w:val="18"/>
        </w:rPr>
        <w:t xml:space="preserve"> </w:t>
      </w:r>
    </w:p>
    <w:p w14:paraId="12E289FB" w14:textId="77777777" w:rsidR="00E15DEF" w:rsidRPr="007F6444" w:rsidRDefault="00E15DEF" w:rsidP="00193F8A">
      <w:pPr>
        <w:pStyle w:val="PlainText"/>
        <w:spacing w:line="240" w:lineRule="atLeast"/>
        <w:rPr>
          <w:rFonts w:ascii="Verdana" w:hAnsi="Verdana"/>
          <w:color w:val="FF0000"/>
          <w:sz w:val="18"/>
          <w:szCs w:val="18"/>
        </w:rPr>
      </w:pPr>
    </w:p>
    <w:p w14:paraId="12E289FC" w14:textId="512F10FE" w:rsidR="0025704A" w:rsidRPr="00880A2A" w:rsidRDefault="00066AE2" w:rsidP="00193F8A">
      <w:pPr>
        <w:pStyle w:val="PlainText"/>
        <w:spacing w:line="240" w:lineRule="atLeast"/>
        <w:rPr>
          <w:rFonts w:ascii="Verdana" w:hAnsi="Verdana"/>
          <w:sz w:val="18"/>
          <w:szCs w:val="18"/>
        </w:rPr>
      </w:pPr>
      <w:r w:rsidRPr="00880A2A">
        <w:rPr>
          <w:rFonts w:ascii="Verdana" w:hAnsi="Verdana"/>
          <w:sz w:val="18"/>
          <w:szCs w:val="18"/>
        </w:rPr>
        <w:t xml:space="preserve">Respondenten in een </w:t>
      </w:r>
      <w:r w:rsidR="006F33F9" w:rsidRPr="004D5FC0">
        <w:rPr>
          <w:rFonts w:ascii="Verdana" w:hAnsi="Verdana"/>
          <w:i/>
          <w:sz w:val="18"/>
          <w:szCs w:val="18"/>
        </w:rPr>
        <w:t>survey</w:t>
      </w:r>
      <w:r w:rsidRPr="00880A2A">
        <w:rPr>
          <w:rFonts w:ascii="Verdana" w:hAnsi="Verdana"/>
          <w:sz w:val="18"/>
          <w:szCs w:val="18"/>
        </w:rPr>
        <w:t xml:space="preserve"> van MOPAN benoemen de kwaliteit van</w:t>
      </w:r>
      <w:r w:rsidR="0070239E">
        <w:rPr>
          <w:rFonts w:ascii="Verdana" w:hAnsi="Verdana"/>
          <w:sz w:val="18"/>
          <w:szCs w:val="18"/>
        </w:rPr>
        <w:t xml:space="preserve"> het</w:t>
      </w:r>
      <w:r w:rsidRPr="00880A2A">
        <w:rPr>
          <w:rFonts w:ascii="Verdana" w:hAnsi="Verdana"/>
          <w:sz w:val="18"/>
          <w:szCs w:val="18"/>
        </w:rPr>
        <w:t xml:space="preserve"> personeel als een van de sterke kanten van de </w:t>
      </w:r>
      <w:r w:rsidR="009D1723">
        <w:rPr>
          <w:rFonts w:ascii="Verdana" w:hAnsi="Verdana"/>
          <w:sz w:val="18"/>
          <w:szCs w:val="18"/>
        </w:rPr>
        <w:t>Bank</w:t>
      </w:r>
      <w:r w:rsidR="001F0FF5">
        <w:rPr>
          <w:rFonts w:ascii="Verdana" w:hAnsi="Verdana"/>
          <w:sz w:val="18"/>
          <w:szCs w:val="18"/>
        </w:rPr>
        <w:t>.</w:t>
      </w:r>
      <w:r w:rsidRPr="00880A2A">
        <w:rPr>
          <w:rFonts w:ascii="Verdana" w:hAnsi="Verdana"/>
          <w:sz w:val="18"/>
          <w:szCs w:val="18"/>
        </w:rPr>
        <w:t xml:space="preserve"> </w:t>
      </w:r>
      <w:r w:rsidR="00AC339A">
        <w:rPr>
          <w:rFonts w:ascii="Verdana" w:hAnsi="Verdana"/>
          <w:sz w:val="18"/>
          <w:szCs w:val="18"/>
        </w:rPr>
        <w:t xml:space="preserve">Onder de </w:t>
      </w:r>
      <w:r w:rsidR="00AC339A">
        <w:rPr>
          <w:rFonts w:ascii="Verdana" w:hAnsi="Verdana"/>
          <w:i/>
          <w:sz w:val="18"/>
          <w:szCs w:val="18"/>
        </w:rPr>
        <w:t xml:space="preserve">Human Capital Strategy </w:t>
      </w:r>
      <w:r w:rsidR="005D2135">
        <w:rPr>
          <w:rFonts w:ascii="Verdana" w:hAnsi="Verdana"/>
          <w:sz w:val="18"/>
          <w:szCs w:val="18"/>
        </w:rPr>
        <w:t>vormen</w:t>
      </w:r>
      <w:r w:rsidR="006E1034">
        <w:rPr>
          <w:rFonts w:ascii="Verdana" w:hAnsi="Verdana"/>
          <w:sz w:val="18"/>
          <w:szCs w:val="18"/>
        </w:rPr>
        <w:t xml:space="preserve"> zowel</w:t>
      </w:r>
      <w:r w:rsidR="00AC339A">
        <w:rPr>
          <w:rFonts w:ascii="Verdana" w:hAnsi="Verdana"/>
          <w:sz w:val="18"/>
          <w:szCs w:val="18"/>
        </w:rPr>
        <w:t xml:space="preserve"> talentoptimalisatie als </w:t>
      </w:r>
      <w:r w:rsidR="006E1034">
        <w:rPr>
          <w:rFonts w:ascii="Verdana" w:hAnsi="Verdana"/>
          <w:sz w:val="18"/>
          <w:szCs w:val="18"/>
        </w:rPr>
        <w:t xml:space="preserve">prestatiegerichtheid </w:t>
      </w:r>
      <w:r>
        <w:rPr>
          <w:rFonts w:ascii="Verdana" w:hAnsi="Verdana"/>
          <w:sz w:val="18"/>
          <w:szCs w:val="18"/>
        </w:rPr>
        <w:t>een belangrijke rol</w:t>
      </w:r>
      <w:r w:rsidR="006E1034">
        <w:rPr>
          <w:rFonts w:ascii="Verdana" w:hAnsi="Verdana"/>
          <w:sz w:val="18"/>
          <w:szCs w:val="18"/>
        </w:rPr>
        <w:t xml:space="preserve"> o</w:t>
      </w:r>
      <w:r w:rsidR="0009064C" w:rsidRPr="00AC339A">
        <w:rPr>
          <w:rFonts w:ascii="Verdana" w:hAnsi="Verdana"/>
          <w:sz w:val="18"/>
          <w:szCs w:val="18"/>
        </w:rPr>
        <w:t>m</w:t>
      </w:r>
      <w:r w:rsidR="005D2135">
        <w:rPr>
          <w:rFonts w:ascii="Verdana" w:hAnsi="Verdana"/>
          <w:sz w:val="18"/>
          <w:szCs w:val="18"/>
        </w:rPr>
        <w:t xml:space="preserve"> </w:t>
      </w:r>
      <w:r w:rsidR="0009064C" w:rsidRPr="00880A2A">
        <w:rPr>
          <w:rFonts w:ascii="Verdana" w:hAnsi="Verdana"/>
          <w:sz w:val="18"/>
          <w:szCs w:val="18"/>
        </w:rPr>
        <w:t xml:space="preserve">zeker te zijn van </w:t>
      </w:r>
      <w:r w:rsidR="005D2135">
        <w:rPr>
          <w:rFonts w:ascii="Verdana" w:hAnsi="Verdana"/>
          <w:sz w:val="18"/>
          <w:szCs w:val="18"/>
        </w:rPr>
        <w:t>gedegen</w:t>
      </w:r>
      <w:r w:rsidR="006E1034">
        <w:rPr>
          <w:rFonts w:ascii="Verdana" w:hAnsi="Verdana"/>
          <w:sz w:val="18"/>
          <w:szCs w:val="18"/>
        </w:rPr>
        <w:t xml:space="preserve"> </w:t>
      </w:r>
      <w:r w:rsidR="00880A2A" w:rsidRPr="00880A2A">
        <w:rPr>
          <w:rFonts w:ascii="Verdana" w:hAnsi="Verdana"/>
          <w:sz w:val="18"/>
          <w:szCs w:val="18"/>
        </w:rPr>
        <w:t>personeelskwaliteit.</w:t>
      </w:r>
      <w:r w:rsidR="0070239E">
        <w:rPr>
          <w:rFonts w:ascii="Verdana" w:hAnsi="Verdana"/>
          <w:sz w:val="18"/>
          <w:szCs w:val="18"/>
        </w:rPr>
        <w:t xml:space="preserve"> </w:t>
      </w:r>
      <w:r w:rsidR="001431E4">
        <w:rPr>
          <w:rFonts w:ascii="Verdana" w:hAnsi="Verdana"/>
          <w:sz w:val="18"/>
          <w:szCs w:val="18"/>
        </w:rPr>
        <w:t xml:space="preserve">Om in staat te zijn haar mandaat te vervullen heeft de </w:t>
      </w:r>
      <w:r w:rsidR="009D1723">
        <w:rPr>
          <w:rFonts w:ascii="Verdana" w:hAnsi="Verdana"/>
          <w:sz w:val="18"/>
          <w:szCs w:val="18"/>
        </w:rPr>
        <w:t>Bank</w:t>
      </w:r>
      <w:r w:rsidR="001431E4">
        <w:rPr>
          <w:rFonts w:ascii="Verdana" w:hAnsi="Verdana"/>
          <w:sz w:val="18"/>
          <w:szCs w:val="18"/>
        </w:rPr>
        <w:t xml:space="preserve"> een groot aandeel professionele staf (83%)</w:t>
      </w:r>
      <w:r w:rsidR="002755E8">
        <w:rPr>
          <w:rFonts w:ascii="Verdana" w:hAnsi="Verdana"/>
          <w:sz w:val="18"/>
          <w:szCs w:val="18"/>
        </w:rPr>
        <w:t xml:space="preserve">. Daarnaast vervult </w:t>
      </w:r>
      <w:r w:rsidR="001431E4">
        <w:rPr>
          <w:rFonts w:ascii="Verdana" w:hAnsi="Verdana"/>
          <w:sz w:val="18"/>
          <w:szCs w:val="18"/>
        </w:rPr>
        <w:t xml:space="preserve">6,3% </w:t>
      </w:r>
      <w:r w:rsidR="002755E8">
        <w:rPr>
          <w:rFonts w:ascii="Verdana" w:hAnsi="Verdana"/>
          <w:sz w:val="18"/>
          <w:szCs w:val="18"/>
        </w:rPr>
        <w:t xml:space="preserve">van de werknemers </w:t>
      </w:r>
      <w:r w:rsidR="001431E4">
        <w:rPr>
          <w:rFonts w:ascii="Verdana" w:hAnsi="Verdana"/>
          <w:sz w:val="18"/>
          <w:szCs w:val="18"/>
        </w:rPr>
        <w:t>management</w:t>
      </w:r>
      <w:r w:rsidR="002755E8">
        <w:rPr>
          <w:rFonts w:ascii="Verdana" w:hAnsi="Verdana"/>
          <w:sz w:val="18"/>
          <w:szCs w:val="18"/>
        </w:rPr>
        <w:t>- of bestuursfuncties</w:t>
      </w:r>
      <w:r w:rsidR="001431E4">
        <w:rPr>
          <w:rFonts w:ascii="Verdana" w:hAnsi="Verdana"/>
          <w:sz w:val="18"/>
          <w:szCs w:val="18"/>
        </w:rPr>
        <w:t xml:space="preserve"> en </w:t>
      </w:r>
      <w:r w:rsidR="002755E8">
        <w:rPr>
          <w:rFonts w:ascii="Verdana" w:hAnsi="Verdana"/>
          <w:sz w:val="18"/>
          <w:szCs w:val="18"/>
        </w:rPr>
        <w:t xml:space="preserve">heeft </w:t>
      </w:r>
      <w:r w:rsidR="001431E4">
        <w:rPr>
          <w:rFonts w:ascii="Verdana" w:hAnsi="Verdana"/>
          <w:sz w:val="18"/>
          <w:szCs w:val="18"/>
        </w:rPr>
        <w:t xml:space="preserve">10,7% </w:t>
      </w:r>
      <w:r w:rsidR="002755E8">
        <w:rPr>
          <w:rFonts w:ascii="Verdana" w:hAnsi="Verdana"/>
          <w:sz w:val="18"/>
          <w:szCs w:val="18"/>
        </w:rPr>
        <w:t xml:space="preserve">een </w:t>
      </w:r>
      <w:r w:rsidR="001431E4">
        <w:rPr>
          <w:rFonts w:ascii="Verdana" w:hAnsi="Verdana"/>
          <w:sz w:val="18"/>
          <w:szCs w:val="18"/>
        </w:rPr>
        <w:t xml:space="preserve">ondersteunende </w:t>
      </w:r>
      <w:r w:rsidR="002755E8">
        <w:rPr>
          <w:rFonts w:ascii="Verdana" w:hAnsi="Verdana"/>
          <w:sz w:val="18"/>
          <w:szCs w:val="18"/>
        </w:rPr>
        <w:t>rol</w:t>
      </w:r>
      <w:r w:rsidR="001F0FF5">
        <w:rPr>
          <w:rFonts w:ascii="Verdana" w:hAnsi="Verdana"/>
          <w:sz w:val="18"/>
          <w:szCs w:val="18"/>
        </w:rPr>
        <w:t>.</w:t>
      </w:r>
    </w:p>
    <w:p w14:paraId="12E289FD" w14:textId="77777777" w:rsidR="00B52E2F" w:rsidRPr="007F6444" w:rsidRDefault="00B52E2F" w:rsidP="00193F8A">
      <w:pPr>
        <w:pStyle w:val="PlainText"/>
        <w:spacing w:line="240" w:lineRule="atLeast"/>
        <w:rPr>
          <w:rFonts w:ascii="Verdana" w:hAnsi="Verdana"/>
          <w:color w:val="FF0000"/>
          <w:sz w:val="18"/>
          <w:szCs w:val="18"/>
        </w:rPr>
      </w:pPr>
    </w:p>
    <w:p w14:paraId="12E289FE" w14:textId="0734F448" w:rsidR="00852A88" w:rsidRPr="00344C56" w:rsidRDefault="00344C56" w:rsidP="00193F8A">
      <w:pPr>
        <w:pStyle w:val="PlainText"/>
        <w:spacing w:line="240" w:lineRule="atLeast"/>
        <w:rPr>
          <w:szCs w:val="22"/>
        </w:rPr>
      </w:pPr>
      <w:r>
        <w:rPr>
          <w:rFonts w:ascii="Verdana" w:hAnsi="Verdana"/>
          <w:sz w:val="18"/>
          <w:szCs w:val="18"/>
        </w:rPr>
        <w:t>Er zijn</w:t>
      </w:r>
      <w:r w:rsidR="00784816" w:rsidRPr="00A31908">
        <w:rPr>
          <w:rFonts w:ascii="Verdana" w:hAnsi="Verdana"/>
          <w:sz w:val="18"/>
          <w:szCs w:val="18"/>
        </w:rPr>
        <w:t xml:space="preserve"> 45 verschillende nationaliteiten werkzaam</w:t>
      </w:r>
      <w:r>
        <w:rPr>
          <w:rFonts w:ascii="Verdana" w:hAnsi="Verdana"/>
          <w:sz w:val="18"/>
          <w:szCs w:val="18"/>
        </w:rPr>
        <w:t xml:space="preserve"> bij de IDB</w:t>
      </w:r>
      <w:r w:rsidR="00784816" w:rsidRPr="00A31908">
        <w:rPr>
          <w:rFonts w:ascii="Verdana" w:hAnsi="Verdana"/>
          <w:sz w:val="18"/>
          <w:szCs w:val="18"/>
        </w:rPr>
        <w:t>.</w:t>
      </w:r>
      <w:r w:rsidR="00DE443F" w:rsidRPr="00A31908">
        <w:rPr>
          <w:rFonts w:ascii="Verdana" w:hAnsi="Verdana"/>
          <w:sz w:val="18"/>
          <w:szCs w:val="18"/>
        </w:rPr>
        <w:t xml:space="preserve"> </w:t>
      </w:r>
      <w:r w:rsidR="00B813A2" w:rsidRPr="00A31908">
        <w:rPr>
          <w:rFonts w:ascii="Verdana" w:hAnsi="Verdana"/>
          <w:sz w:val="18"/>
          <w:szCs w:val="18"/>
        </w:rPr>
        <w:t>Sinds</w:t>
      </w:r>
      <w:r w:rsidR="00B813A2" w:rsidRPr="002D7167">
        <w:rPr>
          <w:rFonts w:ascii="Verdana" w:hAnsi="Verdana"/>
          <w:sz w:val="18"/>
          <w:szCs w:val="18"/>
        </w:rPr>
        <w:t xml:space="preserve"> 2012 heeft de IDB een Diversi</w:t>
      </w:r>
      <w:r w:rsidR="006E1034">
        <w:rPr>
          <w:rFonts w:ascii="Verdana" w:hAnsi="Verdana"/>
          <w:sz w:val="18"/>
          <w:szCs w:val="18"/>
        </w:rPr>
        <w:t xml:space="preserve">teit en Inclusiviteit framework. Hierin richten ze zich </w:t>
      </w:r>
      <w:r w:rsidR="00B813A2" w:rsidRPr="002D7167">
        <w:rPr>
          <w:rFonts w:ascii="Verdana" w:hAnsi="Verdana"/>
          <w:sz w:val="18"/>
          <w:szCs w:val="18"/>
        </w:rPr>
        <w:t xml:space="preserve">op een inclusieve werkomgeving </w:t>
      </w:r>
      <w:r>
        <w:rPr>
          <w:rFonts w:ascii="Verdana" w:hAnsi="Verdana"/>
          <w:sz w:val="18"/>
          <w:szCs w:val="18"/>
        </w:rPr>
        <w:t xml:space="preserve">om </w:t>
      </w:r>
      <w:r w:rsidR="006E1034">
        <w:rPr>
          <w:rFonts w:ascii="Verdana" w:hAnsi="Verdana"/>
          <w:sz w:val="18"/>
          <w:szCs w:val="18"/>
        </w:rPr>
        <w:t xml:space="preserve">zodoende met </w:t>
      </w:r>
      <w:r w:rsidR="00B813A2" w:rsidRPr="002D7167">
        <w:rPr>
          <w:rFonts w:ascii="Verdana" w:hAnsi="Verdana"/>
          <w:sz w:val="18"/>
          <w:szCs w:val="18"/>
        </w:rPr>
        <w:t>een di</w:t>
      </w:r>
      <w:r w:rsidR="006E1034">
        <w:rPr>
          <w:rFonts w:ascii="Verdana" w:hAnsi="Verdana"/>
          <w:sz w:val="18"/>
          <w:szCs w:val="18"/>
        </w:rPr>
        <w:t xml:space="preserve">vers palet aan professionals </w:t>
      </w:r>
      <w:r w:rsidR="00B813A2" w:rsidRPr="002D7167">
        <w:rPr>
          <w:rFonts w:ascii="Verdana" w:hAnsi="Verdana"/>
          <w:sz w:val="18"/>
          <w:szCs w:val="18"/>
        </w:rPr>
        <w:t xml:space="preserve">de IDB </w:t>
      </w:r>
      <w:r>
        <w:rPr>
          <w:rFonts w:ascii="Verdana" w:hAnsi="Verdana"/>
          <w:sz w:val="18"/>
          <w:szCs w:val="18"/>
        </w:rPr>
        <w:t>te versterken</w:t>
      </w:r>
      <w:r w:rsidR="00B813A2" w:rsidRPr="002D7167">
        <w:rPr>
          <w:rFonts w:ascii="Verdana" w:hAnsi="Verdana"/>
          <w:sz w:val="18"/>
          <w:szCs w:val="18"/>
        </w:rPr>
        <w:t>.</w:t>
      </w:r>
      <w:r w:rsidR="001E3082">
        <w:rPr>
          <w:rFonts w:ascii="Verdana" w:hAnsi="Verdana"/>
          <w:sz w:val="18"/>
          <w:szCs w:val="18"/>
        </w:rPr>
        <w:t xml:space="preserve"> </w:t>
      </w:r>
      <w:r>
        <w:rPr>
          <w:rFonts w:ascii="Verdana" w:hAnsi="Verdana"/>
          <w:sz w:val="18"/>
          <w:szCs w:val="18"/>
        </w:rPr>
        <w:t>De IDB</w:t>
      </w:r>
      <w:r w:rsidR="002F16AC">
        <w:rPr>
          <w:rFonts w:ascii="Verdana" w:hAnsi="Verdana"/>
          <w:sz w:val="18"/>
          <w:szCs w:val="18"/>
        </w:rPr>
        <w:t xml:space="preserve"> streeft ernaar</w:t>
      </w:r>
      <w:r>
        <w:rPr>
          <w:rFonts w:ascii="Verdana" w:hAnsi="Verdana"/>
          <w:sz w:val="18"/>
          <w:szCs w:val="18"/>
        </w:rPr>
        <w:t xml:space="preserve"> om de diversiteit in de </w:t>
      </w:r>
      <w:r w:rsidR="009D1723">
        <w:rPr>
          <w:rFonts w:ascii="Verdana" w:hAnsi="Verdana"/>
          <w:sz w:val="18"/>
          <w:szCs w:val="18"/>
        </w:rPr>
        <w:t>Bank</w:t>
      </w:r>
      <w:r>
        <w:rPr>
          <w:rFonts w:ascii="Verdana" w:hAnsi="Verdana"/>
          <w:sz w:val="18"/>
          <w:szCs w:val="18"/>
        </w:rPr>
        <w:t xml:space="preserve"> te verbeteren en zal in 2017 </w:t>
      </w:r>
      <w:r w:rsidR="0066270D">
        <w:rPr>
          <w:rFonts w:ascii="Verdana" w:hAnsi="Verdana"/>
          <w:sz w:val="18"/>
          <w:szCs w:val="18"/>
        </w:rPr>
        <w:t xml:space="preserve">een </w:t>
      </w:r>
      <w:r>
        <w:rPr>
          <w:rFonts w:ascii="Verdana" w:hAnsi="Verdana"/>
          <w:sz w:val="18"/>
          <w:szCs w:val="18"/>
        </w:rPr>
        <w:t>programma uitrollen om een beter beeld te krijgen van de huidige werknemers en toekomstige doelen.</w:t>
      </w:r>
    </w:p>
    <w:p w14:paraId="12E289FF" w14:textId="77777777" w:rsidR="002755E8" w:rsidRDefault="002755E8" w:rsidP="002755E8">
      <w:pPr>
        <w:pStyle w:val="PlainText"/>
        <w:spacing w:line="240" w:lineRule="atLeast"/>
        <w:rPr>
          <w:rFonts w:ascii="Verdana" w:hAnsi="Verdana"/>
          <w:sz w:val="18"/>
          <w:szCs w:val="18"/>
        </w:rPr>
      </w:pPr>
    </w:p>
    <w:p w14:paraId="12E28A00" w14:textId="2242FFF9" w:rsidR="00DB2C79" w:rsidRDefault="005B1F7A" w:rsidP="00DB2C79">
      <w:pPr>
        <w:pStyle w:val="PlainText"/>
        <w:spacing w:line="240" w:lineRule="atLeast"/>
        <w:rPr>
          <w:rFonts w:ascii="Verdana" w:hAnsi="Verdana"/>
          <w:sz w:val="18"/>
          <w:szCs w:val="18"/>
        </w:rPr>
      </w:pPr>
      <w:r>
        <w:rPr>
          <w:rFonts w:ascii="Verdana" w:hAnsi="Verdana"/>
          <w:sz w:val="18"/>
          <w:szCs w:val="18"/>
        </w:rPr>
        <w:t xml:space="preserve">De IDB hecht veel waarde aan gendergelijkheid binnen de </w:t>
      </w:r>
      <w:r w:rsidR="009D1723">
        <w:rPr>
          <w:rFonts w:ascii="Verdana" w:hAnsi="Verdana"/>
          <w:sz w:val="18"/>
          <w:szCs w:val="18"/>
        </w:rPr>
        <w:t>Bank</w:t>
      </w:r>
      <w:r>
        <w:rPr>
          <w:rFonts w:ascii="Verdana" w:hAnsi="Verdana"/>
          <w:sz w:val="18"/>
          <w:szCs w:val="18"/>
        </w:rPr>
        <w:t xml:space="preserve"> maar behaalde de </w:t>
      </w:r>
      <w:r w:rsidR="009447C8">
        <w:rPr>
          <w:rFonts w:ascii="Verdana" w:hAnsi="Verdana"/>
          <w:sz w:val="18"/>
          <w:szCs w:val="18"/>
        </w:rPr>
        <w:t xml:space="preserve">gender doelstellingen van de </w:t>
      </w:r>
      <w:r w:rsidR="009447C8" w:rsidRPr="001E3082">
        <w:rPr>
          <w:rFonts w:ascii="Verdana" w:hAnsi="Verdana"/>
          <w:i/>
          <w:sz w:val="18"/>
          <w:szCs w:val="18"/>
        </w:rPr>
        <w:t>Human Resource Strategy</w:t>
      </w:r>
      <w:r w:rsidR="009447C8">
        <w:rPr>
          <w:rFonts w:ascii="Verdana" w:hAnsi="Verdana"/>
          <w:sz w:val="18"/>
          <w:szCs w:val="18"/>
        </w:rPr>
        <w:t xml:space="preserve"> </w:t>
      </w:r>
      <w:r w:rsidR="00344C56">
        <w:rPr>
          <w:rFonts w:ascii="Verdana" w:hAnsi="Verdana"/>
          <w:sz w:val="18"/>
          <w:szCs w:val="18"/>
        </w:rPr>
        <w:t xml:space="preserve">net </w:t>
      </w:r>
      <w:r w:rsidR="009447C8">
        <w:rPr>
          <w:rFonts w:ascii="Verdana" w:hAnsi="Verdana"/>
          <w:sz w:val="18"/>
          <w:szCs w:val="18"/>
        </w:rPr>
        <w:t xml:space="preserve">niet: eind 2015 moest 40% </w:t>
      </w:r>
      <w:r w:rsidR="0066270D">
        <w:rPr>
          <w:rFonts w:ascii="Verdana" w:hAnsi="Verdana"/>
          <w:sz w:val="18"/>
          <w:szCs w:val="18"/>
        </w:rPr>
        <w:t>van het management</w:t>
      </w:r>
      <w:r w:rsidR="001E3082">
        <w:rPr>
          <w:rFonts w:ascii="Verdana" w:hAnsi="Verdana"/>
          <w:sz w:val="18"/>
          <w:szCs w:val="18"/>
        </w:rPr>
        <w:t xml:space="preserve"> vrouwelijk zijn (</w:t>
      </w:r>
      <w:r w:rsidR="009447C8">
        <w:rPr>
          <w:rFonts w:ascii="Verdana" w:hAnsi="Verdana"/>
          <w:sz w:val="18"/>
          <w:szCs w:val="18"/>
        </w:rPr>
        <w:t>38% bereikt</w:t>
      </w:r>
      <w:r w:rsidR="001E3082">
        <w:rPr>
          <w:rFonts w:ascii="Verdana" w:hAnsi="Verdana"/>
          <w:sz w:val="18"/>
          <w:szCs w:val="18"/>
        </w:rPr>
        <w:t xml:space="preserve">) </w:t>
      </w:r>
      <w:r w:rsidR="009447C8">
        <w:rPr>
          <w:rFonts w:ascii="Verdana" w:hAnsi="Verdana"/>
          <w:sz w:val="18"/>
          <w:szCs w:val="18"/>
        </w:rPr>
        <w:t>en 38%</w:t>
      </w:r>
      <w:r w:rsidR="001E3082">
        <w:rPr>
          <w:rFonts w:ascii="Verdana" w:hAnsi="Verdana"/>
          <w:sz w:val="18"/>
          <w:szCs w:val="18"/>
        </w:rPr>
        <w:t xml:space="preserve"> van de werknemers in </w:t>
      </w:r>
      <w:r w:rsidR="009447C8">
        <w:rPr>
          <w:rFonts w:ascii="Verdana" w:hAnsi="Verdana"/>
          <w:i/>
          <w:sz w:val="18"/>
          <w:szCs w:val="18"/>
        </w:rPr>
        <w:t xml:space="preserve">upper </w:t>
      </w:r>
      <w:r w:rsidR="009447C8" w:rsidRPr="0066270D">
        <w:rPr>
          <w:rFonts w:ascii="Verdana" w:hAnsi="Verdana"/>
          <w:sz w:val="18"/>
          <w:szCs w:val="18"/>
        </w:rPr>
        <w:t>management</w:t>
      </w:r>
      <w:r w:rsidR="001E3082">
        <w:rPr>
          <w:rFonts w:ascii="Verdana" w:hAnsi="Verdana"/>
          <w:sz w:val="18"/>
          <w:szCs w:val="18"/>
        </w:rPr>
        <w:t xml:space="preserve"> (</w:t>
      </w:r>
      <w:r w:rsidR="00880A2A">
        <w:rPr>
          <w:rFonts w:ascii="Verdana" w:hAnsi="Verdana"/>
          <w:sz w:val="18"/>
          <w:szCs w:val="18"/>
        </w:rPr>
        <w:t>37</w:t>
      </w:r>
      <w:r w:rsidR="009447C8">
        <w:rPr>
          <w:rFonts w:ascii="Verdana" w:hAnsi="Verdana"/>
          <w:sz w:val="18"/>
          <w:szCs w:val="18"/>
        </w:rPr>
        <w:t>% bereikt</w:t>
      </w:r>
      <w:r w:rsidR="001E3082">
        <w:rPr>
          <w:rFonts w:ascii="Verdana" w:hAnsi="Verdana"/>
          <w:sz w:val="18"/>
          <w:szCs w:val="18"/>
        </w:rPr>
        <w:t>)</w:t>
      </w:r>
      <w:r w:rsidR="00D8006B">
        <w:rPr>
          <w:rFonts w:ascii="Verdana" w:hAnsi="Verdana"/>
          <w:sz w:val="18"/>
          <w:szCs w:val="18"/>
        </w:rPr>
        <w:t>.</w:t>
      </w:r>
      <w:r w:rsidR="002B48CD">
        <w:rPr>
          <w:rFonts w:ascii="Verdana" w:hAnsi="Verdana"/>
          <w:sz w:val="18"/>
          <w:szCs w:val="18"/>
        </w:rPr>
        <w:t xml:space="preserve"> </w:t>
      </w:r>
      <w:r w:rsidR="00AA2182">
        <w:rPr>
          <w:rFonts w:ascii="Verdana" w:hAnsi="Verdana"/>
          <w:sz w:val="18"/>
          <w:szCs w:val="18"/>
        </w:rPr>
        <w:t xml:space="preserve">In 2019 richt de </w:t>
      </w:r>
      <w:r w:rsidR="009D1723">
        <w:rPr>
          <w:rFonts w:ascii="Verdana" w:hAnsi="Verdana"/>
          <w:sz w:val="18"/>
          <w:szCs w:val="18"/>
        </w:rPr>
        <w:t>Bank</w:t>
      </w:r>
      <w:r w:rsidR="00AA2182">
        <w:rPr>
          <w:rFonts w:ascii="Verdana" w:hAnsi="Verdana"/>
          <w:sz w:val="18"/>
          <w:szCs w:val="18"/>
        </w:rPr>
        <w:t xml:space="preserve"> zich op een </w:t>
      </w:r>
      <w:r w:rsidR="00095B22">
        <w:rPr>
          <w:rFonts w:ascii="Verdana" w:hAnsi="Verdana"/>
          <w:sz w:val="18"/>
          <w:szCs w:val="18"/>
        </w:rPr>
        <w:t>vrouwelijk</w:t>
      </w:r>
      <w:r w:rsidR="00AA2182">
        <w:rPr>
          <w:rFonts w:ascii="Verdana" w:hAnsi="Verdana"/>
          <w:sz w:val="18"/>
          <w:szCs w:val="18"/>
        </w:rPr>
        <w:t xml:space="preserve"> aandeel van 43% in de </w:t>
      </w:r>
      <w:r w:rsidR="00095B22">
        <w:rPr>
          <w:rFonts w:ascii="Verdana" w:hAnsi="Verdana"/>
          <w:sz w:val="18"/>
          <w:szCs w:val="18"/>
        </w:rPr>
        <w:t>seniormanagementposities</w:t>
      </w:r>
      <w:r w:rsidR="00AA2182">
        <w:rPr>
          <w:rFonts w:ascii="Verdana" w:hAnsi="Verdana"/>
          <w:sz w:val="18"/>
          <w:szCs w:val="18"/>
        </w:rPr>
        <w:t xml:space="preserve">. </w:t>
      </w:r>
      <w:r w:rsidR="00DB2C79">
        <w:rPr>
          <w:rFonts w:ascii="Verdana" w:hAnsi="Verdana"/>
          <w:sz w:val="18"/>
          <w:szCs w:val="18"/>
        </w:rPr>
        <w:t>Per maart 2017 is de IDB de eerste regionale ontwikkelings</w:t>
      </w:r>
      <w:r w:rsidR="009D1723">
        <w:rPr>
          <w:rFonts w:ascii="Verdana" w:hAnsi="Verdana"/>
          <w:sz w:val="18"/>
          <w:szCs w:val="18"/>
        </w:rPr>
        <w:t>bank</w:t>
      </w:r>
      <w:r w:rsidR="00DB2C79">
        <w:rPr>
          <w:rFonts w:ascii="Verdana" w:hAnsi="Verdana"/>
          <w:sz w:val="18"/>
          <w:szCs w:val="18"/>
        </w:rPr>
        <w:t xml:space="preserve"> die een EDGE Certificatie (</w:t>
      </w:r>
      <w:r w:rsidR="00DB2C79">
        <w:rPr>
          <w:rFonts w:ascii="Verdana" w:hAnsi="Verdana"/>
          <w:i/>
          <w:sz w:val="18"/>
          <w:szCs w:val="18"/>
        </w:rPr>
        <w:t>Economic Dividends for Gender Equality)</w:t>
      </w:r>
      <w:r w:rsidR="00DB2C79">
        <w:rPr>
          <w:rFonts w:ascii="Verdana" w:hAnsi="Verdana"/>
          <w:sz w:val="18"/>
          <w:szCs w:val="18"/>
        </w:rPr>
        <w:t xml:space="preserve"> heeft gekregen; dit onderschrijft het belang dat de IDB hecht aan gendergelijkheid in de organisatie.</w:t>
      </w:r>
      <w:r w:rsidR="002B48CD">
        <w:rPr>
          <w:rFonts w:ascii="Verdana" w:hAnsi="Verdana"/>
          <w:sz w:val="18"/>
          <w:szCs w:val="18"/>
        </w:rPr>
        <w:t xml:space="preserve"> </w:t>
      </w:r>
    </w:p>
    <w:p w14:paraId="12E28A01" w14:textId="77777777" w:rsidR="00AA2182" w:rsidRDefault="00AA2182" w:rsidP="00AA2182">
      <w:pPr>
        <w:pStyle w:val="PlainText"/>
        <w:spacing w:line="240" w:lineRule="atLeast"/>
        <w:rPr>
          <w:rFonts w:ascii="Verdana" w:hAnsi="Verdana"/>
          <w:sz w:val="18"/>
          <w:szCs w:val="18"/>
        </w:rPr>
      </w:pPr>
    </w:p>
    <w:p w14:paraId="12E28A02" w14:textId="7EE457BF" w:rsidR="00344C56" w:rsidRDefault="00DD5834" w:rsidP="00193F8A">
      <w:pPr>
        <w:pStyle w:val="PlainText"/>
        <w:spacing w:line="240" w:lineRule="atLeast"/>
        <w:rPr>
          <w:rFonts w:ascii="Verdana" w:hAnsi="Verdana"/>
          <w:sz w:val="18"/>
          <w:szCs w:val="18"/>
        </w:rPr>
      </w:pPr>
      <w:r>
        <w:rPr>
          <w:rFonts w:ascii="Verdana" w:hAnsi="Verdana"/>
          <w:sz w:val="18"/>
          <w:szCs w:val="18"/>
        </w:rPr>
        <w:t xml:space="preserve">Zowel </w:t>
      </w:r>
      <w:r w:rsidR="00FB5C67" w:rsidRPr="002D7167">
        <w:rPr>
          <w:rFonts w:ascii="Verdana" w:hAnsi="Verdana"/>
          <w:sz w:val="18"/>
          <w:szCs w:val="18"/>
        </w:rPr>
        <w:t xml:space="preserve">de diversiteit als </w:t>
      </w:r>
      <w:r w:rsidR="00FB5C67">
        <w:rPr>
          <w:rFonts w:ascii="Verdana" w:hAnsi="Verdana"/>
          <w:sz w:val="18"/>
          <w:szCs w:val="18"/>
        </w:rPr>
        <w:t xml:space="preserve">de </w:t>
      </w:r>
      <w:r>
        <w:rPr>
          <w:rFonts w:ascii="Verdana" w:hAnsi="Verdana"/>
          <w:sz w:val="18"/>
          <w:szCs w:val="18"/>
        </w:rPr>
        <w:t xml:space="preserve">genderbalans worden door MOPAN aangekaart </w:t>
      </w:r>
      <w:r w:rsidR="00FB5C67" w:rsidRPr="002D7167">
        <w:rPr>
          <w:rFonts w:ascii="Verdana" w:hAnsi="Verdana"/>
          <w:sz w:val="18"/>
          <w:szCs w:val="18"/>
        </w:rPr>
        <w:t xml:space="preserve">als een blijvende uitdaging, ondanks de belangrijke rol voor diversiteit in de </w:t>
      </w:r>
      <w:r w:rsidR="00FB5C67" w:rsidRPr="002D7167">
        <w:rPr>
          <w:rFonts w:ascii="Verdana" w:hAnsi="Verdana"/>
          <w:i/>
          <w:sz w:val="18"/>
          <w:szCs w:val="18"/>
        </w:rPr>
        <w:t>Human Capital Strategy</w:t>
      </w:r>
      <w:r w:rsidR="00FB5C67" w:rsidRPr="002D7167">
        <w:rPr>
          <w:rFonts w:ascii="Verdana" w:hAnsi="Verdana"/>
          <w:sz w:val="18"/>
          <w:szCs w:val="18"/>
        </w:rPr>
        <w:t>.</w:t>
      </w:r>
      <w:r w:rsidR="00FB5C67">
        <w:rPr>
          <w:rFonts w:ascii="Verdana" w:hAnsi="Verdana"/>
          <w:sz w:val="18"/>
          <w:szCs w:val="18"/>
        </w:rPr>
        <w:t xml:space="preserve"> </w:t>
      </w:r>
    </w:p>
    <w:p w14:paraId="12E28A03" w14:textId="77777777" w:rsidR="00E15DEF" w:rsidRDefault="0046354F" w:rsidP="00193F8A">
      <w:pPr>
        <w:pStyle w:val="PlainText"/>
        <w:spacing w:line="240" w:lineRule="atLeast"/>
        <w:rPr>
          <w:rFonts w:ascii="Verdana" w:hAnsi="Verdana"/>
          <w:sz w:val="18"/>
          <w:szCs w:val="18"/>
        </w:rPr>
      </w:pPr>
      <w:r>
        <w:rPr>
          <w:rFonts w:ascii="Verdana" w:hAnsi="Verdana"/>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12E28A06" w14:textId="77777777" w:rsidTr="00B06CE6">
        <w:tc>
          <w:tcPr>
            <w:tcW w:w="6912" w:type="dxa"/>
            <w:tcBorders>
              <w:top w:val="single" w:sz="12" w:space="0" w:color="auto"/>
              <w:left w:val="single" w:sz="12" w:space="0" w:color="auto"/>
              <w:bottom w:val="single" w:sz="12" w:space="0" w:color="auto"/>
            </w:tcBorders>
            <w:shd w:val="clear" w:color="auto" w:fill="D0CECE"/>
          </w:tcPr>
          <w:p w14:paraId="12E28A04" w14:textId="77777777" w:rsidR="002A310E" w:rsidRPr="00EA0AA8" w:rsidRDefault="002A310E" w:rsidP="00193F8A">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12E28A05" w14:textId="77777777" w:rsidR="002A310E" w:rsidRPr="00EA0AA8" w:rsidRDefault="002A310E" w:rsidP="00193F8A">
            <w:pPr>
              <w:rPr>
                <w:b/>
              </w:rPr>
            </w:pPr>
            <w:r w:rsidRPr="00EA0AA8">
              <w:rPr>
                <w:b/>
              </w:rPr>
              <w:t>Score</w:t>
            </w:r>
          </w:p>
        </w:tc>
      </w:tr>
      <w:tr w:rsidR="002A310E" w14:paraId="12E28A09" w14:textId="77777777" w:rsidTr="00382AE3">
        <w:tc>
          <w:tcPr>
            <w:tcW w:w="6912" w:type="dxa"/>
            <w:tcBorders>
              <w:top w:val="single" w:sz="12" w:space="0" w:color="auto"/>
              <w:left w:val="single" w:sz="12" w:space="0" w:color="auto"/>
            </w:tcBorders>
            <w:shd w:val="clear" w:color="auto" w:fill="auto"/>
          </w:tcPr>
          <w:p w14:paraId="12E28A07" w14:textId="77777777" w:rsidR="002A310E" w:rsidRDefault="00B52E2F" w:rsidP="00193F8A">
            <w:r>
              <w:t xml:space="preserve">Mobiliteit </w:t>
            </w:r>
          </w:p>
        </w:tc>
        <w:tc>
          <w:tcPr>
            <w:tcW w:w="955" w:type="dxa"/>
            <w:tcBorders>
              <w:top w:val="single" w:sz="12" w:space="0" w:color="auto"/>
              <w:right w:val="single" w:sz="12" w:space="0" w:color="auto"/>
            </w:tcBorders>
            <w:shd w:val="clear" w:color="auto" w:fill="auto"/>
          </w:tcPr>
          <w:p w14:paraId="12E28A08" w14:textId="77777777" w:rsidR="002A310E" w:rsidRDefault="00EE2FE6" w:rsidP="00193F8A">
            <w:r>
              <w:t>3</w:t>
            </w:r>
          </w:p>
        </w:tc>
      </w:tr>
      <w:tr w:rsidR="002A310E" w14:paraId="12E28A0C" w14:textId="77777777" w:rsidTr="00382AE3">
        <w:tc>
          <w:tcPr>
            <w:tcW w:w="6912" w:type="dxa"/>
            <w:tcBorders>
              <w:left w:val="single" w:sz="12" w:space="0" w:color="auto"/>
            </w:tcBorders>
            <w:shd w:val="clear" w:color="auto" w:fill="auto"/>
          </w:tcPr>
          <w:p w14:paraId="12E28A0A" w14:textId="77777777" w:rsidR="002A310E" w:rsidRPr="00880A2A" w:rsidRDefault="00B52E2F" w:rsidP="00193F8A">
            <w:r w:rsidRPr="00880A2A">
              <w:t xml:space="preserve">Kwaliteit </w:t>
            </w:r>
          </w:p>
        </w:tc>
        <w:tc>
          <w:tcPr>
            <w:tcW w:w="955" w:type="dxa"/>
            <w:tcBorders>
              <w:right w:val="single" w:sz="12" w:space="0" w:color="auto"/>
            </w:tcBorders>
            <w:shd w:val="clear" w:color="auto" w:fill="auto"/>
          </w:tcPr>
          <w:p w14:paraId="12E28A0B" w14:textId="6A772C6F" w:rsidR="002A310E" w:rsidRDefault="00A71964" w:rsidP="00193F8A">
            <w:r>
              <w:t>4</w:t>
            </w:r>
          </w:p>
        </w:tc>
      </w:tr>
      <w:tr w:rsidR="002A310E" w14:paraId="12E28A0F" w14:textId="77777777" w:rsidTr="00382AE3">
        <w:tc>
          <w:tcPr>
            <w:tcW w:w="6912" w:type="dxa"/>
            <w:tcBorders>
              <w:left w:val="single" w:sz="12" w:space="0" w:color="auto"/>
            </w:tcBorders>
            <w:shd w:val="clear" w:color="auto" w:fill="auto"/>
          </w:tcPr>
          <w:p w14:paraId="12E28A0D" w14:textId="77777777" w:rsidR="002A310E" w:rsidRDefault="00B52E2F" w:rsidP="00193F8A">
            <w:r>
              <w:t>Diversiteit</w:t>
            </w:r>
          </w:p>
        </w:tc>
        <w:tc>
          <w:tcPr>
            <w:tcW w:w="955" w:type="dxa"/>
            <w:tcBorders>
              <w:right w:val="single" w:sz="12" w:space="0" w:color="auto"/>
            </w:tcBorders>
            <w:shd w:val="clear" w:color="auto" w:fill="auto"/>
          </w:tcPr>
          <w:p w14:paraId="12E28A0E" w14:textId="36C8A4BE" w:rsidR="002A310E" w:rsidRDefault="00A71964" w:rsidP="00193F8A">
            <w:r>
              <w:t>3</w:t>
            </w:r>
          </w:p>
        </w:tc>
      </w:tr>
      <w:tr w:rsidR="002A310E" w14:paraId="12E28A12" w14:textId="77777777" w:rsidTr="00382AE3">
        <w:tc>
          <w:tcPr>
            <w:tcW w:w="6912" w:type="dxa"/>
            <w:tcBorders>
              <w:left w:val="single" w:sz="12" w:space="0" w:color="auto"/>
              <w:bottom w:val="single" w:sz="12" w:space="0" w:color="auto"/>
            </w:tcBorders>
            <w:shd w:val="clear" w:color="auto" w:fill="auto"/>
          </w:tcPr>
          <w:p w14:paraId="12E28A10" w14:textId="77777777" w:rsidR="002A310E" w:rsidRDefault="00B52E2F" w:rsidP="00193F8A">
            <w:r>
              <w:t>Genderbalans</w:t>
            </w:r>
          </w:p>
        </w:tc>
        <w:tc>
          <w:tcPr>
            <w:tcW w:w="955" w:type="dxa"/>
            <w:tcBorders>
              <w:bottom w:val="single" w:sz="12" w:space="0" w:color="auto"/>
              <w:right w:val="single" w:sz="12" w:space="0" w:color="auto"/>
            </w:tcBorders>
            <w:shd w:val="clear" w:color="auto" w:fill="auto"/>
          </w:tcPr>
          <w:p w14:paraId="12E28A11" w14:textId="77777777" w:rsidR="002A310E" w:rsidRDefault="007F4CE1" w:rsidP="00193F8A">
            <w:r>
              <w:t>3</w:t>
            </w:r>
          </w:p>
        </w:tc>
      </w:tr>
      <w:tr w:rsidR="002A310E" w:rsidRPr="00EA0AA8" w14:paraId="12E28A15" w14:textId="77777777" w:rsidTr="00B06CE6">
        <w:tc>
          <w:tcPr>
            <w:tcW w:w="6912" w:type="dxa"/>
            <w:tcBorders>
              <w:top w:val="single" w:sz="12" w:space="0" w:color="auto"/>
              <w:left w:val="single" w:sz="12" w:space="0" w:color="auto"/>
              <w:bottom w:val="single" w:sz="12" w:space="0" w:color="auto"/>
            </w:tcBorders>
            <w:shd w:val="clear" w:color="auto" w:fill="D0CECE"/>
          </w:tcPr>
          <w:p w14:paraId="12E28A13" w14:textId="77777777" w:rsidR="002A310E" w:rsidRPr="00EA0AA8" w:rsidRDefault="002A310E" w:rsidP="00193F8A">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2E28A14" w14:textId="77777777" w:rsidR="002A310E" w:rsidRPr="00EA0AA8" w:rsidRDefault="007F4CE1" w:rsidP="00193F8A">
            <w:pPr>
              <w:rPr>
                <w:b/>
              </w:rPr>
            </w:pPr>
            <w:r>
              <w:rPr>
                <w:b/>
              </w:rPr>
              <w:t>3</w:t>
            </w:r>
          </w:p>
        </w:tc>
      </w:tr>
    </w:tbl>
    <w:p w14:paraId="301D7BAF" w14:textId="77777777" w:rsidR="00E35711" w:rsidRDefault="00E35711" w:rsidP="00193F8A"/>
    <w:p w14:paraId="12E28A16" w14:textId="3CCF66EF" w:rsidR="00D32F98" w:rsidRDefault="00D32F98" w:rsidP="00D24162">
      <w:pPr>
        <w:ind w:firstLine="227"/>
      </w:pPr>
      <w:r w:rsidRPr="00193994">
        <w:t>Ver</w:t>
      </w:r>
      <w:r>
        <w:t xml:space="preserve">andering sinds 2015: </w:t>
      </w:r>
      <w:r w:rsidR="007F4CE1">
        <w:t>positief</w:t>
      </w:r>
      <w:r w:rsidR="00B1689C">
        <w:t xml:space="preserve"> </w:t>
      </w:r>
      <w:r w:rsidRPr="00193994">
        <w:t>=</w:t>
      </w:r>
      <w:r w:rsidR="005B118A">
        <w:t xml:space="preserve"> </w:t>
      </w:r>
      <w:r w:rsidR="007F4CE1" w:rsidRPr="00193994">
        <w:sym w:font="Wingdings" w:char="F0E9"/>
      </w:r>
    </w:p>
    <w:p w14:paraId="7BACC2A0" w14:textId="77777777" w:rsidR="003F17A2" w:rsidRDefault="003F17A2" w:rsidP="00D24162">
      <w:pPr>
        <w:ind w:firstLine="227"/>
        <w:rPr>
          <w:b/>
        </w:rPr>
      </w:pPr>
    </w:p>
    <w:p w14:paraId="12E28A17" w14:textId="61EBC8EA" w:rsidR="00DE343C" w:rsidRPr="004D372F" w:rsidRDefault="00B3437D" w:rsidP="00193F8A">
      <w:pPr>
        <w:pStyle w:val="Heading2"/>
        <w:tabs>
          <w:tab w:val="left" w:pos="-1162"/>
          <w:tab w:val="left" w:pos="0"/>
          <w:tab w:val="num" w:pos="1160"/>
        </w:tabs>
        <w:spacing w:line="240" w:lineRule="atLeast"/>
        <w:ind w:hanging="1162"/>
      </w:pPr>
      <w:bookmarkStart w:id="52" w:name="_Toc473812729"/>
      <w:bookmarkStart w:id="53" w:name="_Toc491437691"/>
      <w:r>
        <w:lastRenderedPageBreak/>
        <w:t>4</w:t>
      </w:r>
      <w:r w:rsidR="00326699">
        <w:t>.</w:t>
      </w:r>
      <w:r w:rsidR="00A74DEC">
        <w:t>7</w:t>
      </w:r>
      <w:r w:rsidR="004D372F" w:rsidRPr="004D372F">
        <w:t xml:space="preserve"> </w:t>
      </w:r>
      <w:r w:rsidR="004D372F">
        <w:tab/>
      </w:r>
      <w:r w:rsidR="00DE343C" w:rsidRPr="004D372F">
        <w:t xml:space="preserve">Financiële </w:t>
      </w:r>
      <w:r w:rsidR="00DB7D94">
        <w:t>stabiliteit</w:t>
      </w:r>
      <w:bookmarkEnd w:id="52"/>
      <w:bookmarkEnd w:id="53"/>
    </w:p>
    <w:p w14:paraId="12E28A18" w14:textId="238F863C" w:rsidR="00154366" w:rsidRPr="00E35F8C" w:rsidRDefault="00D4038B" w:rsidP="00193F8A">
      <w:pPr>
        <w:rPr>
          <w:color w:val="0D0D0D"/>
        </w:rPr>
      </w:pPr>
      <w:r>
        <w:rPr>
          <w:color w:val="0D0D0D"/>
        </w:rPr>
        <w:t>De IDB heeft een sterk</w:t>
      </w:r>
      <w:r w:rsidR="00146444">
        <w:rPr>
          <w:color w:val="0D0D0D"/>
        </w:rPr>
        <w:t>e kapitaal</w:t>
      </w:r>
      <w:r>
        <w:rPr>
          <w:color w:val="0D0D0D"/>
        </w:rPr>
        <w:t>positie, mede als gevolg van de recente samenvoeging van</w:t>
      </w:r>
      <w:r w:rsidR="00537BD2" w:rsidRPr="00E35F8C">
        <w:rPr>
          <w:color w:val="0D0D0D"/>
        </w:rPr>
        <w:t xml:space="preserve"> de </w:t>
      </w:r>
      <w:r w:rsidR="001E3082" w:rsidRPr="00E35F8C">
        <w:rPr>
          <w:color w:val="0D0D0D"/>
        </w:rPr>
        <w:t>financiële</w:t>
      </w:r>
      <w:r w:rsidR="00537BD2" w:rsidRPr="00E35F8C">
        <w:rPr>
          <w:color w:val="0D0D0D"/>
        </w:rPr>
        <w:t xml:space="preserve"> middelen van het </w:t>
      </w:r>
      <w:r w:rsidR="001E3082">
        <w:rPr>
          <w:color w:val="0D0D0D"/>
        </w:rPr>
        <w:t xml:space="preserve">reguliere kapitaal </w:t>
      </w:r>
      <w:r w:rsidR="00537BD2" w:rsidRPr="00E35F8C">
        <w:rPr>
          <w:color w:val="0D0D0D"/>
        </w:rPr>
        <w:t xml:space="preserve">en </w:t>
      </w:r>
      <w:r w:rsidR="00537BD2" w:rsidRPr="00E35F8C">
        <w:rPr>
          <w:i/>
          <w:color w:val="0D0D0D"/>
        </w:rPr>
        <w:t>Fund for Special Operations</w:t>
      </w:r>
      <w:r w:rsidR="00537BD2" w:rsidRPr="00E35F8C">
        <w:rPr>
          <w:color w:val="0D0D0D"/>
        </w:rPr>
        <w:t xml:space="preserve"> (het concessionele fonds). Verder </w:t>
      </w:r>
      <w:r w:rsidR="00154366" w:rsidRPr="00E35F8C">
        <w:rPr>
          <w:color w:val="0D0D0D"/>
        </w:rPr>
        <w:t xml:space="preserve">werkt de IDB samen met de </w:t>
      </w:r>
      <w:r w:rsidR="001E3082">
        <w:rPr>
          <w:i/>
          <w:color w:val="0D0D0D"/>
        </w:rPr>
        <w:t xml:space="preserve">African Development </w:t>
      </w:r>
      <w:r w:rsidR="009D1723">
        <w:rPr>
          <w:i/>
          <w:color w:val="0D0D0D"/>
        </w:rPr>
        <w:t>Bank</w:t>
      </w:r>
      <w:r w:rsidR="001E3082">
        <w:rPr>
          <w:i/>
          <w:color w:val="0D0D0D"/>
        </w:rPr>
        <w:t xml:space="preserve"> </w:t>
      </w:r>
      <w:r w:rsidR="001E3082">
        <w:rPr>
          <w:color w:val="0D0D0D"/>
        </w:rPr>
        <w:t>(AfDB)</w:t>
      </w:r>
      <w:r w:rsidR="00154366" w:rsidRPr="00E35F8C">
        <w:rPr>
          <w:color w:val="0D0D0D"/>
        </w:rPr>
        <w:t xml:space="preserve"> en </w:t>
      </w:r>
      <w:r w:rsidR="001E3082">
        <w:rPr>
          <w:color w:val="0D0D0D"/>
        </w:rPr>
        <w:t xml:space="preserve">de </w:t>
      </w:r>
      <w:r w:rsidR="001E3082">
        <w:rPr>
          <w:i/>
          <w:color w:val="0D0D0D"/>
        </w:rPr>
        <w:t xml:space="preserve">International </w:t>
      </w:r>
      <w:r w:rsidR="009D1723">
        <w:rPr>
          <w:i/>
          <w:color w:val="0D0D0D"/>
        </w:rPr>
        <w:t>Bank</w:t>
      </w:r>
      <w:r w:rsidR="001E3082">
        <w:rPr>
          <w:i/>
          <w:color w:val="0D0D0D"/>
        </w:rPr>
        <w:t xml:space="preserve"> for Reconstruction and Development </w:t>
      </w:r>
      <w:r w:rsidR="001E3082" w:rsidRPr="001E3082">
        <w:rPr>
          <w:color w:val="0D0D0D"/>
        </w:rPr>
        <w:t>(</w:t>
      </w:r>
      <w:r w:rsidR="00154366" w:rsidRPr="00E35F8C">
        <w:rPr>
          <w:color w:val="0D0D0D"/>
        </w:rPr>
        <w:t>IBRD</w:t>
      </w:r>
      <w:r w:rsidR="001E3082">
        <w:rPr>
          <w:color w:val="0D0D0D"/>
        </w:rPr>
        <w:t>)</w:t>
      </w:r>
      <w:r w:rsidR="00154366" w:rsidRPr="00E35F8C">
        <w:rPr>
          <w:color w:val="0D0D0D"/>
        </w:rPr>
        <w:t xml:space="preserve"> met </w:t>
      </w:r>
      <w:r w:rsidR="00154366" w:rsidRPr="00E35F8C">
        <w:rPr>
          <w:i/>
          <w:color w:val="0D0D0D"/>
        </w:rPr>
        <w:t xml:space="preserve">sovereign exposure exchange agreements </w:t>
      </w:r>
      <w:r w:rsidR="00154366" w:rsidRPr="00E35F8C">
        <w:rPr>
          <w:color w:val="0D0D0D"/>
        </w:rPr>
        <w:t>om regionale risico</w:t>
      </w:r>
      <w:r w:rsidR="001E3082">
        <w:rPr>
          <w:color w:val="0D0D0D"/>
        </w:rPr>
        <w:t>’</w:t>
      </w:r>
      <w:r w:rsidR="00154366" w:rsidRPr="00E35F8C">
        <w:rPr>
          <w:color w:val="0D0D0D"/>
        </w:rPr>
        <w:t xml:space="preserve">s </w:t>
      </w:r>
      <w:r w:rsidR="001E3082">
        <w:rPr>
          <w:color w:val="0D0D0D"/>
        </w:rPr>
        <w:t>beter op te kunnen vangen</w:t>
      </w:r>
      <w:r w:rsidR="001F0FF5">
        <w:rPr>
          <w:color w:val="0D0D0D"/>
        </w:rPr>
        <w:t>.</w:t>
      </w:r>
    </w:p>
    <w:p w14:paraId="12E28A19" w14:textId="77777777" w:rsidR="001E3082" w:rsidRDefault="001E3082" w:rsidP="00193F8A">
      <w:pPr>
        <w:rPr>
          <w:color w:val="0D0D0D"/>
        </w:rPr>
      </w:pPr>
    </w:p>
    <w:p w14:paraId="12E28A1A" w14:textId="075E4EDE" w:rsidR="00174DF8" w:rsidRDefault="00477427" w:rsidP="00193F8A">
      <w:pPr>
        <w:rPr>
          <w:color w:val="0D0D0D"/>
        </w:rPr>
      </w:pPr>
      <w:r w:rsidRPr="00477427">
        <w:rPr>
          <w:color w:val="0D0D0D"/>
        </w:rPr>
        <w:t>De uitvoering van de begroting bedroeg 95% van de begrotin</w:t>
      </w:r>
      <w:r w:rsidR="00E53C0D">
        <w:rPr>
          <w:color w:val="0D0D0D"/>
        </w:rPr>
        <w:t xml:space="preserve">g; de </w:t>
      </w:r>
      <w:r w:rsidR="002D7167">
        <w:rPr>
          <w:color w:val="0D0D0D"/>
        </w:rPr>
        <w:t>totalen matche</w:t>
      </w:r>
      <w:r w:rsidRPr="00477427">
        <w:rPr>
          <w:color w:val="0D0D0D"/>
        </w:rPr>
        <w:t>n aan het e</w:t>
      </w:r>
      <w:r w:rsidR="00E53C0D">
        <w:rPr>
          <w:color w:val="0D0D0D"/>
        </w:rPr>
        <w:t xml:space="preserve">ind van het jaar bijna volledig. Dit is </w:t>
      </w:r>
      <w:r w:rsidR="00AF29B7">
        <w:rPr>
          <w:color w:val="0D0D0D"/>
        </w:rPr>
        <w:t>mede</w:t>
      </w:r>
      <w:r w:rsidR="00E53C0D">
        <w:rPr>
          <w:color w:val="0D0D0D"/>
        </w:rPr>
        <w:t xml:space="preserve"> tot stand gekomen door</w:t>
      </w:r>
      <w:r w:rsidRPr="00477427">
        <w:rPr>
          <w:color w:val="0D0D0D"/>
        </w:rPr>
        <w:t xml:space="preserve"> onderlinge verschuivingen (plus-min exercitie) tussen </w:t>
      </w:r>
      <w:r w:rsidR="00FD428F" w:rsidRPr="00477427">
        <w:rPr>
          <w:color w:val="0D0D0D"/>
        </w:rPr>
        <w:t>materiële budgetten</w:t>
      </w:r>
      <w:r w:rsidR="001F0FF5">
        <w:rPr>
          <w:color w:val="0D0D0D"/>
        </w:rPr>
        <w:t>.</w:t>
      </w:r>
    </w:p>
    <w:p w14:paraId="12E28A1B" w14:textId="77777777" w:rsidR="005D6F98" w:rsidRDefault="005D6F98" w:rsidP="00193F8A">
      <w:pPr>
        <w:rPr>
          <w:color w:val="0D0D0D"/>
        </w:rPr>
      </w:pPr>
    </w:p>
    <w:p w14:paraId="12E28A1C" w14:textId="03B2A099" w:rsidR="00537BD2" w:rsidRPr="00E35F8C" w:rsidRDefault="00F63FB6" w:rsidP="00193F8A">
      <w:pPr>
        <w:rPr>
          <w:color w:val="0D0D0D"/>
        </w:rPr>
      </w:pPr>
      <w:r w:rsidRPr="00E35F8C">
        <w:rPr>
          <w:color w:val="0D0D0D"/>
        </w:rPr>
        <w:t>De IDB</w:t>
      </w:r>
      <w:r w:rsidR="00FC31D9">
        <w:rPr>
          <w:color w:val="0D0D0D"/>
        </w:rPr>
        <w:t xml:space="preserve"> en IIC hebben</w:t>
      </w:r>
      <w:r w:rsidRPr="00E35F8C">
        <w:rPr>
          <w:color w:val="0D0D0D"/>
        </w:rPr>
        <w:t xml:space="preserve"> een adequate liquiditeits- en solvabiliteitspositie.</w:t>
      </w:r>
      <w:r>
        <w:rPr>
          <w:color w:val="0D0D0D"/>
        </w:rPr>
        <w:t xml:space="preserve"> </w:t>
      </w:r>
      <w:r w:rsidR="009F41C7" w:rsidRPr="00E35F8C">
        <w:rPr>
          <w:color w:val="0D0D0D"/>
        </w:rPr>
        <w:t>De IDB heeft een AA</w:t>
      </w:r>
      <w:r w:rsidR="00537BD2" w:rsidRPr="00E35F8C">
        <w:rPr>
          <w:color w:val="0D0D0D"/>
        </w:rPr>
        <w:t>A</w:t>
      </w:r>
      <w:r w:rsidR="009F41C7" w:rsidRPr="00E35F8C">
        <w:rPr>
          <w:color w:val="0D0D0D"/>
        </w:rPr>
        <w:t>-rating</w:t>
      </w:r>
      <w:r w:rsidR="00537BD2" w:rsidRPr="00E35F8C">
        <w:rPr>
          <w:color w:val="0D0D0D"/>
        </w:rPr>
        <w:t xml:space="preserve">, </w:t>
      </w:r>
      <w:r w:rsidR="00537BD2" w:rsidRPr="00537BD2">
        <w:rPr>
          <w:color w:val="0D0D0D"/>
        </w:rPr>
        <w:t>de IIC een AA</w:t>
      </w:r>
      <w:r w:rsidR="00FD428F">
        <w:rPr>
          <w:color w:val="0D0D0D"/>
        </w:rPr>
        <w:t xml:space="preserve"> </w:t>
      </w:r>
      <w:r w:rsidR="006F33F9" w:rsidRPr="004D5FC0">
        <w:rPr>
          <w:i/>
          <w:color w:val="0D0D0D"/>
        </w:rPr>
        <w:t>plus-rating</w:t>
      </w:r>
      <w:r w:rsidR="004F029E">
        <w:rPr>
          <w:color w:val="0D0D0D"/>
        </w:rPr>
        <w:t>.</w:t>
      </w:r>
      <w:r w:rsidR="00AC7A0F">
        <w:rPr>
          <w:color w:val="0D0D0D"/>
        </w:rPr>
        <w:t xml:space="preserve"> </w:t>
      </w:r>
      <w:r w:rsidR="00A7395A">
        <w:rPr>
          <w:color w:val="0D0D0D"/>
        </w:rPr>
        <w:t xml:space="preserve">Het verschil in rating </w:t>
      </w:r>
      <w:r w:rsidR="00334CF1">
        <w:rPr>
          <w:color w:val="0D0D0D"/>
        </w:rPr>
        <w:t>volgt voornamelijk</w:t>
      </w:r>
      <w:r w:rsidR="00A7395A">
        <w:rPr>
          <w:color w:val="0D0D0D"/>
        </w:rPr>
        <w:t xml:space="preserve"> uit </w:t>
      </w:r>
      <w:r w:rsidR="000A214E">
        <w:rPr>
          <w:color w:val="0D0D0D"/>
        </w:rPr>
        <w:t xml:space="preserve">de </w:t>
      </w:r>
      <w:r w:rsidR="00334CF1">
        <w:rPr>
          <w:color w:val="0D0D0D"/>
        </w:rPr>
        <w:t xml:space="preserve">hoge </w:t>
      </w:r>
      <w:r w:rsidR="00FD428F">
        <w:rPr>
          <w:color w:val="0D0D0D"/>
        </w:rPr>
        <w:t xml:space="preserve">AAA </w:t>
      </w:r>
      <w:r w:rsidR="006F33F9" w:rsidRPr="004D5FC0">
        <w:rPr>
          <w:i/>
          <w:color w:val="0D0D0D"/>
        </w:rPr>
        <w:t>credit-rating</w:t>
      </w:r>
      <w:r w:rsidR="00334CF1">
        <w:rPr>
          <w:color w:val="0D0D0D"/>
        </w:rPr>
        <w:t xml:space="preserve"> van enkele aandeelhouders zoals Canada, </w:t>
      </w:r>
      <w:r w:rsidR="00FD428F">
        <w:rPr>
          <w:color w:val="0D0D0D"/>
        </w:rPr>
        <w:t xml:space="preserve">Nederland </w:t>
      </w:r>
      <w:r w:rsidR="00334CF1">
        <w:rPr>
          <w:color w:val="0D0D0D"/>
        </w:rPr>
        <w:t>en Duitsland</w:t>
      </w:r>
      <w:r w:rsidR="000A214E" w:rsidRPr="000A214E">
        <w:rPr>
          <w:color w:val="0D0D0D"/>
        </w:rPr>
        <w:t xml:space="preserve"> </w:t>
      </w:r>
      <w:r w:rsidR="000A214E">
        <w:rPr>
          <w:color w:val="0D0D0D"/>
        </w:rPr>
        <w:t xml:space="preserve">en het bij hen uitstaande </w:t>
      </w:r>
      <w:r w:rsidR="000A214E">
        <w:rPr>
          <w:i/>
          <w:color w:val="0D0D0D"/>
        </w:rPr>
        <w:t>callable capital</w:t>
      </w:r>
      <w:r w:rsidR="000A214E">
        <w:rPr>
          <w:color w:val="0D0D0D"/>
        </w:rPr>
        <w:t xml:space="preserve"> van de IDB</w:t>
      </w:r>
      <w:r w:rsidR="00334CF1">
        <w:rPr>
          <w:color w:val="0D0D0D"/>
        </w:rPr>
        <w:t xml:space="preserve">. De </w:t>
      </w:r>
      <w:r w:rsidR="00A7395A">
        <w:rPr>
          <w:color w:val="0D0D0D"/>
        </w:rPr>
        <w:t>IIC heeft</w:t>
      </w:r>
      <w:r w:rsidR="00334CF1">
        <w:rPr>
          <w:color w:val="0D0D0D"/>
        </w:rPr>
        <w:t xml:space="preserve"> geen </w:t>
      </w:r>
      <w:r w:rsidR="00334CF1">
        <w:rPr>
          <w:i/>
          <w:color w:val="0D0D0D"/>
        </w:rPr>
        <w:t xml:space="preserve">callable capital. </w:t>
      </w:r>
      <w:r w:rsidR="00334CF1" w:rsidRPr="00334CF1">
        <w:rPr>
          <w:color w:val="0D0D0D"/>
        </w:rPr>
        <w:t>S</w:t>
      </w:r>
      <w:r w:rsidR="00AC7A0F" w:rsidRPr="00334CF1">
        <w:rPr>
          <w:color w:val="0D0D0D"/>
        </w:rPr>
        <w:t>ta</w:t>
      </w:r>
      <w:r w:rsidR="00DE54E5">
        <w:rPr>
          <w:color w:val="0D0D0D"/>
        </w:rPr>
        <w:t xml:space="preserve">ndard &amp; Poors oordeelt </w:t>
      </w:r>
      <w:r w:rsidR="00AC7A0F">
        <w:rPr>
          <w:color w:val="0D0D0D"/>
        </w:rPr>
        <w:t>dat zowel de IDB als de IIC een zeer sterk financieel</w:t>
      </w:r>
      <w:r w:rsidR="00E44467">
        <w:rPr>
          <w:color w:val="0D0D0D"/>
        </w:rPr>
        <w:t xml:space="preserve"> en </w:t>
      </w:r>
      <w:r w:rsidR="00DE54E5">
        <w:rPr>
          <w:color w:val="0D0D0D"/>
        </w:rPr>
        <w:t>bedrijfs</w:t>
      </w:r>
      <w:r w:rsidR="00AC7A0F">
        <w:rPr>
          <w:color w:val="0D0D0D"/>
        </w:rPr>
        <w:t>profiel hebben</w:t>
      </w:r>
      <w:r w:rsidR="000A214E">
        <w:rPr>
          <w:color w:val="0D0D0D"/>
        </w:rPr>
        <w:t>, mede d</w:t>
      </w:r>
      <w:r w:rsidR="00CC436E">
        <w:rPr>
          <w:color w:val="0D0D0D"/>
        </w:rPr>
        <w:t>oor de kapit</w:t>
      </w:r>
      <w:r w:rsidR="002B48CD">
        <w:rPr>
          <w:color w:val="0D0D0D"/>
        </w:rPr>
        <w:t xml:space="preserve">aaltoereikendheid en liquiditeit. </w:t>
      </w:r>
    </w:p>
    <w:p w14:paraId="12E28A1D" w14:textId="77777777" w:rsidR="00E44467" w:rsidRDefault="00E44467" w:rsidP="00E44467">
      <w:pPr>
        <w:rPr>
          <w:color w:val="0D0D0D"/>
        </w:rPr>
      </w:pPr>
    </w:p>
    <w:p w14:paraId="12E28A1E" w14:textId="3444FC95" w:rsidR="00E44467" w:rsidRDefault="00E44467" w:rsidP="00E44467">
      <w:pPr>
        <w:rPr>
          <w:color w:val="0D0D0D"/>
        </w:rPr>
      </w:pPr>
      <w:r>
        <w:rPr>
          <w:color w:val="0D0D0D"/>
        </w:rPr>
        <w:t xml:space="preserve">De IDB heeft veel voortgang geboekt op het gebied van financieel en risicomanagement. Sinds 2014 wordt het </w:t>
      </w:r>
      <w:r w:rsidRPr="00F63FB6">
        <w:rPr>
          <w:i/>
          <w:color w:val="0D0D0D"/>
        </w:rPr>
        <w:t>operational risk management</w:t>
      </w:r>
      <w:r>
        <w:rPr>
          <w:color w:val="0D0D0D"/>
        </w:rPr>
        <w:t xml:space="preserve"> besproken in een speciale commissie van Management. Deze commissie adviseert het Senior Management in de implementatie en behoud van een effectief operationeel risicomanagement in de gehele </w:t>
      </w:r>
      <w:r w:rsidR="009D1723">
        <w:rPr>
          <w:color w:val="0D0D0D"/>
        </w:rPr>
        <w:t>Bank</w:t>
      </w:r>
      <w:r>
        <w:rPr>
          <w:color w:val="0D0D0D"/>
        </w:rPr>
        <w:t xml:space="preserve">. Verder kan de IDB, </w:t>
      </w:r>
      <w:r w:rsidR="001342FB">
        <w:rPr>
          <w:color w:val="0D0D0D"/>
        </w:rPr>
        <w:t xml:space="preserve">indien </w:t>
      </w:r>
      <w:r>
        <w:rPr>
          <w:color w:val="0D0D0D"/>
        </w:rPr>
        <w:t xml:space="preserve">nodig, extra rente-inkomsten generen doordat de </w:t>
      </w:r>
      <w:r w:rsidR="009D1723">
        <w:rPr>
          <w:color w:val="0D0D0D"/>
        </w:rPr>
        <w:t>Bank</w:t>
      </w:r>
      <w:r>
        <w:rPr>
          <w:color w:val="0D0D0D"/>
        </w:rPr>
        <w:t xml:space="preserve"> de kosten van de leningen in de gehele portefeuille kan aanpassen. </w:t>
      </w:r>
    </w:p>
    <w:p w14:paraId="12E28A1F" w14:textId="77777777" w:rsidR="001E3082" w:rsidRDefault="001E3082" w:rsidP="00193F8A">
      <w:pPr>
        <w:rPr>
          <w:color w:val="0D0D0D"/>
        </w:rPr>
      </w:pPr>
    </w:p>
    <w:p w14:paraId="12E28A20" w14:textId="160C67DB" w:rsidR="00CD58D6" w:rsidRDefault="004A1ABC" w:rsidP="00193F8A">
      <w:pPr>
        <w:rPr>
          <w:color w:val="0D0D0D"/>
        </w:rPr>
      </w:pPr>
      <w:r w:rsidRPr="004A1ABC">
        <w:rPr>
          <w:color w:val="0D0D0D"/>
        </w:rPr>
        <w:t xml:space="preserve">The </w:t>
      </w:r>
      <w:r w:rsidRPr="004A1ABC">
        <w:rPr>
          <w:i/>
          <w:color w:val="0D0D0D"/>
        </w:rPr>
        <w:t xml:space="preserve">Office of Executive Auditor </w:t>
      </w:r>
      <w:r w:rsidRPr="004A1ABC">
        <w:rPr>
          <w:color w:val="0D0D0D"/>
        </w:rPr>
        <w:t xml:space="preserve">(AUG) is </w:t>
      </w:r>
      <w:r>
        <w:rPr>
          <w:color w:val="0D0D0D"/>
        </w:rPr>
        <w:t>verantwoordelijk</w:t>
      </w:r>
      <w:r w:rsidRPr="004A1ABC">
        <w:rPr>
          <w:color w:val="0D0D0D"/>
        </w:rPr>
        <w:t xml:space="preserve"> voor de interne audit</w:t>
      </w:r>
      <w:r>
        <w:rPr>
          <w:color w:val="0D0D0D"/>
        </w:rPr>
        <w:t xml:space="preserve"> en rapporteert aan de </w:t>
      </w:r>
      <w:r w:rsidR="001E3082">
        <w:rPr>
          <w:color w:val="0D0D0D"/>
        </w:rPr>
        <w:t xml:space="preserve">president van de </w:t>
      </w:r>
      <w:r>
        <w:rPr>
          <w:color w:val="0D0D0D"/>
        </w:rPr>
        <w:t xml:space="preserve">IDB en Audit </w:t>
      </w:r>
      <w:r w:rsidR="001E3082">
        <w:rPr>
          <w:color w:val="0D0D0D"/>
        </w:rPr>
        <w:t>Commissie van de Raad van Bewindvoerders.</w:t>
      </w:r>
      <w:r>
        <w:rPr>
          <w:color w:val="0D0D0D"/>
        </w:rPr>
        <w:t xml:space="preserve"> </w:t>
      </w:r>
      <w:r w:rsidR="00B50E7E">
        <w:rPr>
          <w:color w:val="0D0D0D"/>
        </w:rPr>
        <w:t xml:space="preserve">Ook de IIC valt onder de AUG en heeft sinds vorig jaar </w:t>
      </w:r>
      <w:r w:rsidR="00FA6265">
        <w:rPr>
          <w:color w:val="0D0D0D"/>
        </w:rPr>
        <w:t>haar</w:t>
      </w:r>
      <w:r w:rsidR="00B50E7E">
        <w:rPr>
          <w:color w:val="0D0D0D"/>
        </w:rPr>
        <w:t xml:space="preserve"> eigen audit commissie. </w:t>
      </w:r>
      <w:r>
        <w:rPr>
          <w:color w:val="0D0D0D"/>
        </w:rPr>
        <w:t xml:space="preserve">In 2013 is door </w:t>
      </w:r>
      <w:r w:rsidR="001342FB">
        <w:rPr>
          <w:color w:val="0D0D0D"/>
        </w:rPr>
        <w:t xml:space="preserve">het </w:t>
      </w:r>
      <w:r>
        <w:rPr>
          <w:i/>
          <w:color w:val="0D0D0D"/>
        </w:rPr>
        <w:t xml:space="preserve">Institute of Internal Auditors </w:t>
      </w:r>
      <w:r>
        <w:rPr>
          <w:color w:val="0D0D0D"/>
        </w:rPr>
        <w:t xml:space="preserve">(IIA) geconcludeerd dat de AUG voldoet aan de internationale standaarden en vooroploopt </w:t>
      </w:r>
      <w:r w:rsidR="001342FB">
        <w:rPr>
          <w:color w:val="0D0D0D"/>
        </w:rPr>
        <w:t>ten opzichte van</w:t>
      </w:r>
      <w:r>
        <w:rPr>
          <w:color w:val="0D0D0D"/>
        </w:rPr>
        <w:t xml:space="preserve"> andere organisaties</w:t>
      </w:r>
      <w:r w:rsidR="00D55EF3">
        <w:rPr>
          <w:color w:val="0D0D0D"/>
        </w:rPr>
        <w:t>.</w:t>
      </w:r>
    </w:p>
    <w:p w14:paraId="12E28A21" w14:textId="77777777" w:rsidR="00827E70" w:rsidRDefault="00827E70" w:rsidP="00193F8A">
      <w:pPr>
        <w:rPr>
          <w:color w:val="0D0D0D"/>
        </w:rPr>
      </w:pPr>
    </w:p>
    <w:p w14:paraId="12E28A22" w14:textId="7509D880" w:rsidR="00157FB4" w:rsidRPr="00343A99" w:rsidRDefault="00827E70" w:rsidP="00193F8A">
      <w:pPr>
        <w:rPr>
          <w:color w:val="0D0D0D"/>
        </w:rPr>
      </w:pPr>
      <w:r>
        <w:rPr>
          <w:color w:val="0D0D0D"/>
        </w:rPr>
        <w:t xml:space="preserve">De relatie </w:t>
      </w:r>
      <w:r w:rsidR="005D6F98">
        <w:rPr>
          <w:color w:val="0D0D0D"/>
        </w:rPr>
        <w:t xml:space="preserve">tussen inhoudelijke en </w:t>
      </w:r>
      <w:r w:rsidR="00087FEF">
        <w:rPr>
          <w:color w:val="0D0D0D"/>
        </w:rPr>
        <w:t>financiële</w:t>
      </w:r>
      <w:r w:rsidR="005D6F98">
        <w:rPr>
          <w:color w:val="0D0D0D"/>
        </w:rPr>
        <w:t xml:space="preserve"> rapportage wordt </w:t>
      </w:r>
      <w:r w:rsidR="00DE54E5">
        <w:rPr>
          <w:color w:val="0D0D0D"/>
        </w:rPr>
        <w:t xml:space="preserve">duidelijk </w:t>
      </w:r>
      <w:r w:rsidR="005D6F98">
        <w:rPr>
          <w:color w:val="0D0D0D"/>
        </w:rPr>
        <w:t xml:space="preserve">gelegd door middel van </w:t>
      </w:r>
      <w:r w:rsidR="005D6F98">
        <w:rPr>
          <w:i/>
          <w:color w:val="0D0D0D"/>
        </w:rPr>
        <w:t>Results Based Budgeting</w:t>
      </w:r>
      <w:r w:rsidR="005D6F98">
        <w:rPr>
          <w:color w:val="0D0D0D"/>
        </w:rPr>
        <w:t xml:space="preserve"> en de </w:t>
      </w:r>
      <w:r w:rsidR="005D6F98" w:rsidRPr="00343A99">
        <w:rPr>
          <w:color w:val="0D0D0D"/>
        </w:rPr>
        <w:t xml:space="preserve">terugkoppeling hiervan </w:t>
      </w:r>
      <w:r w:rsidR="00655359" w:rsidRPr="00343A99">
        <w:rPr>
          <w:color w:val="0D0D0D"/>
        </w:rPr>
        <w:t>wordt verwerkt in het</w:t>
      </w:r>
      <w:r w:rsidR="00174DF8" w:rsidRPr="00343A99">
        <w:rPr>
          <w:color w:val="0D0D0D"/>
        </w:rPr>
        <w:t xml:space="preserve"> </w:t>
      </w:r>
      <w:r w:rsidR="00477427" w:rsidRPr="00343A99">
        <w:rPr>
          <w:i/>
          <w:color w:val="0D0D0D"/>
        </w:rPr>
        <w:t xml:space="preserve">Program and </w:t>
      </w:r>
      <w:r w:rsidR="00174DF8" w:rsidRPr="00343A99">
        <w:rPr>
          <w:i/>
          <w:color w:val="0D0D0D"/>
        </w:rPr>
        <w:t xml:space="preserve">Budget </w:t>
      </w:r>
      <w:r w:rsidR="005D6F98" w:rsidRPr="00343A99">
        <w:rPr>
          <w:i/>
          <w:color w:val="0D0D0D"/>
        </w:rPr>
        <w:t>Exe</w:t>
      </w:r>
      <w:r w:rsidR="00174DF8" w:rsidRPr="00343A99">
        <w:rPr>
          <w:i/>
          <w:color w:val="0D0D0D"/>
        </w:rPr>
        <w:t>cution Report</w:t>
      </w:r>
      <w:r w:rsidR="00174DF8" w:rsidRPr="00343A99">
        <w:rPr>
          <w:color w:val="0D0D0D"/>
        </w:rPr>
        <w:t xml:space="preserve">. </w:t>
      </w:r>
      <w:r w:rsidR="00477427" w:rsidRPr="00343A99">
        <w:rPr>
          <w:color w:val="0D0D0D"/>
        </w:rPr>
        <w:t xml:space="preserve">In het rapport staat onder andere de link tussen </w:t>
      </w:r>
      <w:r w:rsidR="00477427" w:rsidRPr="00343A99">
        <w:rPr>
          <w:i/>
          <w:color w:val="0D0D0D"/>
        </w:rPr>
        <w:t xml:space="preserve">performance indicators </w:t>
      </w:r>
      <w:r w:rsidR="00477427" w:rsidRPr="00343A99">
        <w:rPr>
          <w:color w:val="0D0D0D"/>
        </w:rPr>
        <w:t>en de uitgaven</w:t>
      </w:r>
      <w:r w:rsidR="00343A99" w:rsidRPr="00343A99">
        <w:rPr>
          <w:color w:val="0D0D0D"/>
        </w:rPr>
        <w:t xml:space="preserve"> en een terugblik op de uitvoering van de begroting.</w:t>
      </w:r>
    </w:p>
    <w:p w14:paraId="12E28A23" w14:textId="77777777" w:rsidR="002A310E" w:rsidRDefault="002A310E" w:rsidP="00193F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12E28A26" w14:textId="77777777" w:rsidTr="00B06CE6">
        <w:tc>
          <w:tcPr>
            <w:tcW w:w="6912" w:type="dxa"/>
            <w:tcBorders>
              <w:top w:val="single" w:sz="12" w:space="0" w:color="auto"/>
              <w:left w:val="single" w:sz="12" w:space="0" w:color="auto"/>
              <w:bottom w:val="single" w:sz="12" w:space="0" w:color="auto"/>
            </w:tcBorders>
            <w:shd w:val="clear" w:color="auto" w:fill="D0CECE"/>
          </w:tcPr>
          <w:p w14:paraId="12E28A24" w14:textId="77777777" w:rsidR="002A310E" w:rsidRPr="00EA0AA8" w:rsidRDefault="002A310E" w:rsidP="00193F8A">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12E28A25" w14:textId="77777777" w:rsidR="002A310E" w:rsidRPr="00EA0AA8" w:rsidRDefault="002A310E" w:rsidP="00193F8A">
            <w:pPr>
              <w:rPr>
                <w:b/>
              </w:rPr>
            </w:pPr>
            <w:r w:rsidRPr="00EA0AA8">
              <w:rPr>
                <w:b/>
              </w:rPr>
              <w:t>Score</w:t>
            </w:r>
          </w:p>
        </w:tc>
      </w:tr>
      <w:tr w:rsidR="002A310E" w14:paraId="12E28A29" w14:textId="77777777" w:rsidTr="00382AE3">
        <w:tc>
          <w:tcPr>
            <w:tcW w:w="6912" w:type="dxa"/>
            <w:tcBorders>
              <w:top w:val="single" w:sz="12" w:space="0" w:color="auto"/>
              <w:left w:val="single" w:sz="12" w:space="0" w:color="auto"/>
            </w:tcBorders>
            <w:shd w:val="clear" w:color="auto" w:fill="auto"/>
          </w:tcPr>
          <w:p w14:paraId="12E28A27" w14:textId="77777777" w:rsidR="002A310E" w:rsidRDefault="00726368" w:rsidP="00193F8A">
            <w:r>
              <w:t>Realistische begroting</w:t>
            </w:r>
          </w:p>
        </w:tc>
        <w:tc>
          <w:tcPr>
            <w:tcW w:w="955" w:type="dxa"/>
            <w:tcBorders>
              <w:top w:val="single" w:sz="12" w:space="0" w:color="auto"/>
              <w:right w:val="single" w:sz="12" w:space="0" w:color="auto"/>
            </w:tcBorders>
            <w:shd w:val="clear" w:color="auto" w:fill="auto"/>
          </w:tcPr>
          <w:p w14:paraId="12E28A28" w14:textId="77777777" w:rsidR="002A310E" w:rsidRDefault="00E53C0D" w:rsidP="00193F8A">
            <w:r>
              <w:t>3</w:t>
            </w:r>
          </w:p>
        </w:tc>
      </w:tr>
      <w:tr w:rsidR="002A310E" w14:paraId="12E28A2C" w14:textId="77777777" w:rsidTr="00382AE3">
        <w:tc>
          <w:tcPr>
            <w:tcW w:w="6912" w:type="dxa"/>
            <w:tcBorders>
              <w:left w:val="single" w:sz="12" w:space="0" w:color="auto"/>
            </w:tcBorders>
            <w:shd w:val="clear" w:color="auto" w:fill="auto"/>
          </w:tcPr>
          <w:p w14:paraId="12E28A2A" w14:textId="77777777" w:rsidR="002A310E" w:rsidRDefault="00927293" w:rsidP="00193F8A">
            <w:r>
              <w:t>Liquiditeitspositie en/of solvabiliteitspositie</w:t>
            </w:r>
          </w:p>
        </w:tc>
        <w:tc>
          <w:tcPr>
            <w:tcW w:w="955" w:type="dxa"/>
            <w:tcBorders>
              <w:right w:val="single" w:sz="12" w:space="0" w:color="auto"/>
            </w:tcBorders>
            <w:shd w:val="clear" w:color="auto" w:fill="auto"/>
          </w:tcPr>
          <w:p w14:paraId="12E28A2B" w14:textId="77777777" w:rsidR="002A310E" w:rsidRDefault="00655359" w:rsidP="00193F8A">
            <w:r>
              <w:t>4</w:t>
            </w:r>
          </w:p>
        </w:tc>
      </w:tr>
      <w:tr w:rsidR="002A310E" w14:paraId="12E28A2F" w14:textId="77777777" w:rsidTr="00382AE3">
        <w:tc>
          <w:tcPr>
            <w:tcW w:w="6912" w:type="dxa"/>
            <w:tcBorders>
              <w:left w:val="single" w:sz="12" w:space="0" w:color="auto"/>
            </w:tcBorders>
            <w:shd w:val="clear" w:color="auto" w:fill="auto"/>
          </w:tcPr>
          <w:p w14:paraId="12E28A2D" w14:textId="77777777" w:rsidR="002A310E" w:rsidRDefault="00927293" w:rsidP="00193F8A">
            <w:r>
              <w:t>Interne auditfunctie</w:t>
            </w:r>
          </w:p>
        </w:tc>
        <w:tc>
          <w:tcPr>
            <w:tcW w:w="955" w:type="dxa"/>
            <w:tcBorders>
              <w:right w:val="single" w:sz="12" w:space="0" w:color="auto"/>
            </w:tcBorders>
            <w:shd w:val="clear" w:color="auto" w:fill="auto"/>
          </w:tcPr>
          <w:p w14:paraId="12E28A2E" w14:textId="77777777" w:rsidR="002A310E" w:rsidRDefault="00DE54E5" w:rsidP="00193F8A">
            <w:r>
              <w:t>3</w:t>
            </w:r>
          </w:p>
        </w:tc>
      </w:tr>
      <w:tr w:rsidR="00927293" w14:paraId="12E28A32" w14:textId="77777777" w:rsidTr="00382AE3">
        <w:tc>
          <w:tcPr>
            <w:tcW w:w="6912" w:type="dxa"/>
            <w:tcBorders>
              <w:left w:val="single" w:sz="12" w:space="0" w:color="auto"/>
            </w:tcBorders>
            <w:shd w:val="clear" w:color="auto" w:fill="auto"/>
          </w:tcPr>
          <w:p w14:paraId="12E28A30" w14:textId="77777777" w:rsidR="00927293" w:rsidRDefault="00927293" w:rsidP="00193F8A">
            <w:r>
              <w:t>Kwaliteit rapportages</w:t>
            </w:r>
          </w:p>
        </w:tc>
        <w:tc>
          <w:tcPr>
            <w:tcW w:w="955" w:type="dxa"/>
            <w:tcBorders>
              <w:right w:val="single" w:sz="12" w:space="0" w:color="auto"/>
            </w:tcBorders>
            <w:shd w:val="clear" w:color="auto" w:fill="auto"/>
          </w:tcPr>
          <w:p w14:paraId="12E28A31" w14:textId="77777777" w:rsidR="00927293" w:rsidRDefault="00553F58" w:rsidP="00193F8A">
            <w:r>
              <w:t>3</w:t>
            </w:r>
          </w:p>
        </w:tc>
      </w:tr>
      <w:tr w:rsidR="00927293" w14:paraId="12E28A35" w14:textId="77777777" w:rsidTr="00382AE3">
        <w:tc>
          <w:tcPr>
            <w:tcW w:w="6912" w:type="dxa"/>
            <w:tcBorders>
              <w:left w:val="single" w:sz="12" w:space="0" w:color="auto"/>
            </w:tcBorders>
            <w:shd w:val="clear" w:color="auto" w:fill="auto"/>
          </w:tcPr>
          <w:p w14:paraId="12E28A33" w14:textId="77777777" w:rsidR="00927293" w:rsidRDefault="00927293" w:rsidP="00193F8A">
            <w:r>
              <w:t>Samenhang tussen inhoudelijke en financiële rapportages</w:t>
            </w:r>
          </w:p>
        </w:tc>
        <w:tc>
          <w:tcPr>
            <w:tcW w:w="955" w:type="dxa"/>
            <w:tcBorders>
              <w:right w:val="single" w:sz="12" w:space="0" w:color="auto"/>
            </w:tcBorders>
            <w:shd w:val="clear" w:color="auto" w:fill="auto"/>
          </w:tcPr>
          <w:p w14:paraId="12E28A34" w14:textId="77777777" w:rsidR="00927293" w:rsidRDefault="00DE54E5" w:rsidP="00193F8A">
            <w:r>
              <w:t>4</w:t>
            </w:r>
          </w:p>
        </w:tc>
      </w:tr>
      <w:tr w:rsidR="002A310E" w:rsidRPr="00EA0AA8" w14:paraId="12E28A38" w14:textId="77777777" w:rsidTr="00B06CE6">
        <w:tc>
          <w:tcPr>
            <w:tcW w:w="6912" w:type="dxa"/>
            <w:tcBorders>
              <w:top w:val="single" w:sz="12" w:space="0" w:color="auto"/>
              <w:left w:val="single" w:sz="12" w:space="0" w:color="auto"/>
              <w:bottom w:val="single" w:sz="12" w:space="0" w:color="auto"/>
            </w:tcBorders>
            <w:shd w:val="clear" w:color="auto" w:fill="D0CECE"/>
          </w:tcPr>
          <w:p w14:paraId="12E28A36" w14:textId="77777777" w:rsidR="002A310E" w:rsidRPr="00EA0AA8" w:rsidRDefault="002A310E" w:rsidP="00193F8A">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2E28A37" w14:textId="77777777" w:rsidR="002A310E" w:rsidRPr="00EA0AA8" w:rsidRDefault="00A850C9" w:rsidP="00193F8A">
            <w:pPr>
              <w:rPr>
                <w:b/>
              </w:rPr>
            </w:pPr>
            <w:r>
              <w:rPr>
                <w:b/>
              </w:rPr>
              <w:t>3</w:t>
            </w:r>
          </w:p>
        </w:tc>
      </w:tr>
    </w:tbl>
    <w:p w14:paraId="3580CD4F" w14:textId="77777777" w:rsidR="00E35711" w:rsidRDefault="00E35711" w:rsidP="00193F8A"/>
    <w:p w14:paraId="7ABA0D90" w14:textId="77777777" w:rsidR="003F17A2" w:rsidRDefault="00D32F98" w:rsidP="00D24162">
      <w:pPr>
        <w:ind w:firstLine="227"/>
      </w:pPr>
      <w:r w:rsidRPr="00193994">
        <w:t>Ver</w:t>
      </w:r>
      <w:r>
        <w:t xml:space="preserve">andering sinds 2015: </w:t>
      </w:r>
      <w:r w:rsidR="005514B5">
        <w:t>neutraal</w:t>
      </w:r>
      <w:r w:rsidR="004E49E5">
        <w:t xml:space="preserve"> = </w:t>
      </w:r>
      <w:r w:rsidR="005514B5" w:rsidRPr="00193994">
        <w:sym w:font="Wingdings" w:char="F0E8"/>
      </w:r>
      <w:r w:rsidR="005514B5">
        <w:tab/>
      </w:r>
    </w:p>
    <w:p w14:paraId="12E28A39" w14:textId="7B40A9AB" w:rsidR="00D32F98" w:rsidRDefault="005514B5" w:rsidP="00D24162">
      <w:pPr>
        <w:ind w:firstLine="227"/>
        <w:rPr>
          <w:b/>
        </w:rPr>
      </w:pPr>
      <w:r>
        <w:tab/>
      </w:r>
    </w:p>
    <w:p w14:paraId="12E28A3A" w14:textId="2357F5AB" w:rsidR="00382AE3" w:rsidRDefault="00B3437D" w:rsidP="00193F8A">
      <w:pPr>
        <w:pStyle w:val="Heading2"/>
        <w:tabs>
          <w:tab w:val="left" w:pos="-1162"/>
          <w:tab w:val="left" w:pos="0"/>
          <w:tab w:val="num" w:pos="1160"/>
        </w:tabs>
        <w:spacing w:line="240" w:lineRule="atLeast"/>
        <w:ind w:hanging="1162"/>
      </w:pPr>
      <w:bookmarkStart w:id="54" w:name="_Toc473812730"/>
      <w:bookmarkStart w:id="55" w:name="_Toc491437692"/>
      <w:r>
        <w:lastRenderedPageBreak/>
        <w:t>4</w:t>
      </w:r>
      <w:r w:rsidR="00382AE3">
        <w:t>.8</w:t>
      </w:r>
      <w:r w:rsidR="00382AE3" w:rsidRPr="004D372F">
        <w:t xml:space="preserve"> </w:t>
      </w:r>
      <w:r w:rsidR="00382AE3">
        <w:tab/>
      </w:r>
      <w:r w:rsidR="00D55EF3">
        <w:t>Kosten</w:t>
      </w:r>
      <w:bookmarkEnd w:id="54"/>
      <w:r w:rsidR="00EA6A31">
        <w:t>reductie</w:t>
      </w:r>
      <w:bookmarkEnd w:id="55"/>
    </w:p>
    <w:p w14:paraId="12E28A3B" w14:textId="4D379DF0" w:rsidR="00B019F8" w:rsidRDefault="00C20018" w:rsidP="00193F8A">
      <w:r>
        <w:t>De IDB is afgelopen jaren in staat geweest om de leningenportefeuille te vergroten met een beperkte groei van het administratieve budget.</w:t>
      </w:r>
      <w:r w:rsidR="00A725A5">
        <w:t xml:space="preserve"> De </w:t>
      </w:r>
      <w:r w:rsidR="00A725A5" w:rsidRPr="00655359">
        <w:rPr>
          <w:i/>
        </w:rPr>
        <w:t>cost-to-income</w:t>
      </w:r>
      <w:r w:rsidR="00A725A5">
        <w:t xml:space="preserve"> ratio is dalende en staat in 2016 op 33</w:t>
      </w:r>
      <w:r w:rsidR="001342FB">
        <w:t>,</w:t>
      </w:r>
      <w:r w:rsidR="00CC5BDA">
        <w:t xml:space="preserve">1%, </w:t>
      </w:r>
      <w:r w:rsidR="00A725A5">
        <w:t>t</w:t>
      </w:r>
      <w:r w:rsidR="001342FB">
        <w:t>en opzichte van</w:t>
      </w:r>
      <w:r w:rsidR="00CC5BDA">
        <w:t xml:space="preserve"> 37,3% in 2015 en 40,3% in 2014</w:t>
      </w:r>
      <w:r w:rsidR="0035475B">
        <w:t>.</w:t>
      </w:r>
      <w:r w:rsidR="00B065B1">
        <w:t xml:space="preserve"> </w:t>
      </w:r>
      <w:r w:rsidR="00B019F8">
        <w:t xml:space="preserve">De administratieve uitgaven/gemiddelde </w:t>
      </w:r>
      <w:r w:rsidR="006F33F9" w:rsidRPr="004D5FC0">
        <w:rPr>
          <w:i/>
        </w:rPr>
        <w:t>adjusted common equity</w:t>
      </w:r>
      <w:r w:rsidR="00C154F5">
        <w:rPr>
          <w:i/>
        </w:rPr>
        <w:t xml:space="preserve"> </w:t>
      </w:r>
      <w:r w:rsidR="00C154F5">
        <w:t>van kredietbeoordelaar Standard &amp; Poor’s is</w:t>
      </w:r>
      <w:r w:rsidR="001B5FE9">
        <w:t xml:space="preserve"> een gangbare maatstaf van kostenefficiëntie in het bankwezen</w:t>
      </w:r>
      <w:r w:rsidR="00C154F5">
        <w:t>. Deze ratio’s</w:t>
      </w:r>
      <w:r w:rsidR="001B5FE9">
        <w:t xml:space="preserve"> </w:t>
      </w:r>
      <w:r w:rsidR="00B019F8">
        <w:t xml:space="preserve">liggen bij de IDB en IIC gemiddeld hoger dan bij de andere regionale </w:t>
      </w:r>
      <w:r w:rsidR="009D1723">
        <w:t>bank</w:t>
      </w:r>
      <w:r w:rsidR="00B019F8">
        <w:t>en en bedroegen respectievelijk 3,16% en 5,13%</w:t>
      </w:r>
      <w:r w:rsidR="00D55EF3">
        <w:t>.</w:t>
      </w:r>
    </w:p>
    <w:p w14:paraId="12E28A3C" w14:textId="0B00CEAE" w:rsidR="00B019F8" w:rsidRDefault="00B019F8" w:rsidP="00193F8A"/>
    <w:p w14:paraId="12E28A3D" w14:textId="543E075B" w:rsidR="00B3731D" w:rsidRPr="00B3731D" w:rsidRDefault="00B065B1" w:rsidP="00193F8A">
      <w:r>
        <w:t xml:space="preserve">De totale administratieve uitgaven per miljoen dollar aan goedgekeurde projecten </w:t>
      </w:r>
      <w:r w:rsidR="00C368B8">
        <w:t>zijn met 13% gedaald sinds 2011</w:t>
      </w:r>
      <w:r w:rsidR="006B0A3C">
        <w:t xml:space="preserve"> naar USD 41.336 in 2015</w:t>
      </w:r>
      <w:r w:rsidR="001D17E8">
        <w:t xml:space="preserve">. </w:t>
      </w:r>
      <w:r w:rsidR="000D2ECC">
        <w:t xml:space="preserve">De Bank zal echter de komende jaren de totale administratieve uitgaven nog verder naar beneden moeten brengen om haar </w:t>
      </w:r>
      <w:r w:rsidR="001D17E8">
        <w:t xml:space="preserve">uiteindelijke </w:t>
      </w:r>
      <w:r w:rsidR="006B0A3C">
        <w:t xml:space="preserve">doel </w:t>
      </w:r>
      <w:r w:rsidR="000D2ECC">
        <w:t>te bereiken</w:t>
      </w:r>
      <w:r w:rsidR="00D55EF3">
        <w:t>.</w:t>
      </w:r>
      <w:r w:rsidR="0048762E">
        <w:t xml:space="preserve"> </w:t>
      </w:r>
    </w:p>
    <w:p w14:paraId="12E28A3E" w14:textId="77777777" w:rsidR="00B44CD2" w:rsidRDefault="00B44CD2" w:rsidP="00193F8A">
      <w:pPr>
        <w:rPr>
          <w:color w:val="808080"/>
        </w:rPr>
      </w:pPr>
    </w:p>
    <w:p w14:paraId="12E28A3F" w14:textId="35F51A24" w:rsidR="00B44CD2" w:rsidRDefault="00C20018" w:rsidP="00193F8A">
      <w:r>
        <w:t xml:space="preserve">De samenwerking tussen de IDB en IIC is toegenomen met </w:t>
      </w:r>
      <w:r w:rsidR="00655359">
        <w:t xml:space="preserve">de </w:t>
      </w:r>
      <w:r w:rsidRPr="00B44CD2">
        <w:rPr>
          <w:i/>
        </w:rPr>
        <w:t>Service Level Agreements</w:t>
      </w:r>
      <w:r w:rsidRPr="006935AB">
        <w:t>: om</w:t>
      </w:r>
      <w:r>
        <w:t xml:space="preserve"> administratieve kosten te bespare</w:t>
      </w:r>
      <w:r w:rsidR="00B44CD2">
        <w:t xml:space="preserve">n werken de IDB en IIC samen waar dit </w:t>
      </w:r>
      <w:r w:rsidR="006935AB">
        <w:t>efficiëntie</w:t>
      </w:r>
      <w:r w:rsidR="00B44CD2">
        <w:t xml:space="preserve"> winst zal opleveren</w:t>
      </w:r>
      <w:r w:rsidR="00D55EF3">
        <w:t>.</w:t>
      </w:r>
      <w:r w:rsidR="00760C95">
        <w:t xml:space="preserve"> </w:t>
      </w:r>
      <w:r w:rsidR="0062247B">
        <w:t xml:space="preserve">De IDB linkt de </w:t>
      </w:r>
      <w:r w:rsidR="0062247B" w:rsidRPr="00B44CD2">
        <w:rPr>
          <w:i/>
        </w:rPr>
        <w:t>loan charges</w:t>
      </w:r>
      <w:r w:rsidR="00CC5BDA">
        <w:t xml:space="preserve"> aan de administratieve kosten </w:t>
      </w:r>
      <w:r w:rsidR="006935AB">
        <w:t>aan de hand van</w:t>
      </w:r>
      <w:r w:rsidR="0062247B">
        <w:t xml:space="preserve"> </w:t>
      </w:r>
      <w:r w:rsidR="0062247B" w:rsidRPr="00B44CD2">
        <w:rPr>
          <w:i/>
        </w:rPr>
        <w:t>Income Management Model</w:t>
      </w:r>
      <w:r w:rsidR="00D55EF3">
        <w:t>.</w:t>
      </w:r>
      <w:r w:rsidR="0062247B">
        <w:t xml:space="preserve"> </w:t>
      </w:r>
      <w:r w:rsidR="00B44CD2">
        <w:t xml:space="preserve">Naast de </w:t>
      </w:r>
      <w:r w:rsidR="00B44CD2" w:rsidRPr="00655359">
        <w:rPr>
          <w:i/>
        </w:rPr>
        <w:t>cost-to-income</w:t>
      </w:r>
      <w:r w:rsidR="00B44CD2">
        <w:t xml:space="preserve"> ratio heeft de IDB een indicator die kijkt naar de kosten per ontwikkelingsproduct: </w:t>
      </w:r>
      <w:r w:rsidR="00DF5DB4">
        <w:t xml:space="preserve">de </w:t>
      </w:r>
      <w:r w:rsidR="00B44CD2">
        <w:rPr>
          <w:i/>
        </w:rPr>
        <w:t xml:space="preserve">cost-to-development </w:t>
      </w:r>
      <w:r w:rsidR="00DF5DB4">
        <w:rPr>
          <w:i/>
        </w:rPr>
        <w:t xml:space="preserve">assets </w:t>
      </w:r>
      <w:r w:rsidR="00B44CD2">
        <w:rPr>
          <w:i/>
        </w:rPr>
        <w:t>ratio.</w:t>
      </w:r>
      <w:r w:rsidR="00DF5DB4">
        <w:t xml:space="preserve"> </w:t>
      </w:r>
      <w:r w:rsidR="00C03DBC">
        <w:t xml:space="preserve">Deze ratio bestaat sinds 2015 en wordt als een driejarig gemiddelde gerapporteerd, de eerste rapportage komt daarom in 2018. </w:t>
      </w:r>
    </w:p>
    <w:p w14:paraId="12E28A40" w14:textId="77777777" w:rsidR="00C03DBC" w:rsidRPr="0062247B" w:rsidRDefault="00C03DBC" w:rsidP="00193F8A"/>
    <w:p w14:paraId="12E28A41" w14:textId="4A419D0F" w:rsidR="00251C0D" w:rsidRDefault="00251C0D" w:rsidP="00193F8A">
      <w:r w:rsidRPr="00251C0D">
        <w:t xml:space="preserve">Het beleid van de </w:t>
      </w:r>
      <w:r w:rsidR="009D1723">
        <w:t>Bank</w:t>
      </w:r>
      <w:r w:rsidRPr="00251C0D">
        <w:t xml:space="preserve"> t</w:t>
      </w:r>
      <w:r w:rsidR="001342FB">
        <w:t>en opzichte van</w:t>
      </w:r>
      <w:r w:rsidRPr="00251C0D">
        <w:t xml:space="preserve"> salarissen is onveranderd: de salarisstijging word</w:t>
      </w:r>
      <w:r w:rsidR="00C368B8">
        <w:t xml:space="preserve">t gezien als een exogene factor </w:t>
      </w:r>
      <w:r w:rsidR="00B019F8">
        <w:t xml:space="preserve">en bepaald </w:t>
      </w:r>
      <w:r w:rsidR="001342FB">
        <w:t>aan de hand van</w:t>
      </w:r>
      <w:r w:rsidR="00B019F8">
        <w:t xml:space="preserve"> de salarisontwikkelingen in de private en nationale publieke sector in Washington</w:t>
      </w:r>
      <w:r w:rsidR="006935AB">
        <w:t>,</w:t>
      </w:r>
      <w:r w:rsidR="00B019F8">
        <w:t xml:space="preserve"> het IMF en de WB</w:t>
      </w:r>
      <w:r w:rsidR="00D55EF3">
        <w:t>.</w:t>
      </w:r>
      <w:r w:rsidRPr="00251C0D">
        <w:t xml:space="preserve"> De afgelopen salarisstijging</w:t>
      </w:r>
      <w:r w:rsidR="00585B4C">
        <w:t>en</w:t>
      </w:r>
      <w:r w:rsidRPr="00251C0D">
        <w:t xml:space="preserve"> waren weliswaar </w:t>
      </w:r>
      <w:r w:rsidR="00B44CD2" w:rsidRPr="00251C0D">
        <w:t>reëel</w:t>
      </w:r>
      <w:r w:rsidRPr="00251C0D">
        <w:t>, maar lagen onder de sa</w:t>
      </w:r>
      <w:r>
        <w:t>larisstijgingen van concurrent-werkgevers</w:t>
      </w:r>
      <w:r w:rsidR="00D55EF3">
        <w:t>.</w:t>
      </w:r>
      <w:r w:rsidRPr="00251C0D">
        <w:t xml:space="preserve"> </w:t>
      </w:r>
      <w:r w:rsidR="00D40A9B">
        <w:t xml:space="preserve">Naar het oordeel van een </w:t>
      </w:r>
      <w:r w:rsidR="003410F2">
        <w:t xml:space="preserve">(kleine) </w:t>
      </w:r>
      <w:r w:rsidR="00D40A9B">
        <w:t>mi</w:t>
      </w:r>
      <w:r w:rsidR="00CC5BDA">
        <w:t xml:space="preserve">nderheid van de aandeelhouders, waaronder NL, </w:t>
      </w:r>
      <w:r w:rsidR="00D40A9B">
        <w:t>zou een versobering van salarissen gepast zijn</w:t>
      </w:r>
      <w:r w:rsidR="00BB6349">
        <w:t>. V</w:t>
      </w:r>
      <w:r w:rsidR="00B019F8">
        <w:t xml:space="preserve">olgens de </w:t>
      </w:r>
      <w:r w:rsidR="00136EFD">
        <w:t xml:space="preserve">meerderheid van de Raad van Bewindvoerders en het Management van de </w:t>
      </w:r>
      <w:r w:rsidR="009D1723">
        <w:t>Bank</w:t>
      </w:r>
      <w:r w:rsidR="00B019F8">
        <w:t xml:space="preserve"> is een salarisstijging </w:t>
      </w:r>
      <w:r w:rsidR="00BB6349">
        <w:t xml:space="preserve">echter </w:t>
      </w:r>
      <w:r w:rsidR="00B019F8">
        <w:t>nodig om concurrerend te blijven</w:t>
      </w:r>
      <w:r w:rsidR="003410F2">
        <w:t xml:space="preserve"> en hoogwaardig personeel aan te kunnen trekken</w:t>
      </w:r>
      <w:r w:rsidR="00D40A9B">
        <w:t xml:space="preserve">. </w:t>
      </w:r>
    </w:p>
    <w:p w14:paraId="12E28A42" w14:textId="77777777" w:rsidR="00B44CD2" w:rsidRDefault="00B44CD2" w:rsidP="00193F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382AE3" w:rsidRPr="00EA0AA8" w14:paraId="12E28A45" w14:textId="77777777" w:rsidTr="00B06CE6">
        <w:tc>
          <w:tcPr>
            <w:tcW w:w="6912" w:type="dxa"/>
            <w:tcBorders>
              <w:top w:val="single" w:sz="12" w:space="0" w:color="auto"/>
              <w:left w:val="single" w:sz="12" w:space="0" w:color="auto"/>
              <w:bottom w:val="single" w:sz="12" w:space="0" w:color="auto"/>
            </w:tcBorders>
            <w:shd w:val="clear" w:color="auto" w:fill="D0CECE"/>
          </w:tcPr>
          <w:p w14:paraId="12E28A43" w14:textId="77777777" w:rsidR="00382AE3" w:rsidRPr="00EA0AA8" w:rsidRDefault="00382AE3" w:rsidP="00193F8A">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12E28A44" w14:textId="77777777" w:rsidR="00382AE3" w:rsidRPr="00EA0AA8" w:rsidRDefault="00382AE3" w:rsidP="00193F8A">
            <w:pPr>
              <w:rPr>
                <w:b/>
              </w:rPr>
            </w:pPr>
            <w:r w:rsidRPr="00EA0AA8">
              <w:rPr>
                <w:b/>
              </w:rPr>
              <w:t>Score</w:t>
            </w:r>
          </w:p>
        </w:tc>
      </w:tr>
      <w:tr w:rsidR="00382AE3" w14:paraId="12E28A48" w14:textId="77777777" w:rsidTr="00382AE3">
        <w:tc>
          <w:tcPr>
            <w:tcW w:w="6912" w:type="dxa"/>
            <w:tcBorders>
              <w:top w:val="single" w:sz="12" w:space="0" w:color="auto"/>
              <w:left w:val="single" w:sz="12" w:space="0" w:color="auto"/>
            </w:tcBorders>
            <w:shd w:val="clear" w:color="auto" w:fill="auto"/>
          </w:tcPr>
          <w:p w14:paraId="12E28A46" w14:textId="77777777" w:rsidR="00382AE3" w:rsidRDefault="002568BC" w:rsidP="00193F8A">
            <w:r>
              <w:t>Verhouding programma-uitgaven/overhead</w:t>
            </w:r>
          </w:p>
        </w:tc>
        <w:tc>
          <w:tcPr>
            <w:tcW w:w="955" w:type="dxa"/>
            <w:tcBorders>
              <w:top w:val="single" w:sz="12" w:space="0" w:color="auto"/>
              <w:right w:val="single" w:sz="12" w:space="0" w:color="auto"/>
            </w:tcBorders>
            <w:shd w:val="clear" w:color="auto" w:fill="auto"/>
          </w:tcPr>
          <w:p w14:paraId="12E28A47" w14:textId="79889788" w:rsidR="00382AE3" w:rsidRDefault="00967101" w:rsidP="00193F8A">
            <w:r>
              <w:t>3</w:t>
            </w:r>
          </w:p>
        </w:tc>
      </w:tr>
      <w:tr w:rsidR="00382AE3" w14:paraId="12E28A4B" w14:textId="77777777" w:rsidTr="00382AE3">
        <w:tc>
          <w:tcPr>
            <w:tcW w:w="6912" w:type="dxa"/>
            <w:tcBorders>
              <w:left w:val="single" w:sz="12" w:space="0" w:color="auto"/>
            </w:tcBorders>
            <w:shd w:val="clear" w:color="auto" w:fill="auto"/>
          </w:tcPr>
          <w:p w14:paraId="12E28A49" w14:textId="77777777" w:rsidR="00382AE3" w:rsidRDefault="002568BC" w:rsidP="00193F8A">
            <w:r>
              <w:t>Kosteneff</w:t>
            </w:r>
            <w:r w:rsidR="00A21A93">
              <w:t xml:space="preserve">ectiviteit </w:t>
            </w:r>
            <w:r>
              <w:t>programma’s</w:t>
            </w:r>
          </w:p>
        </w:tc>
        <w:tc>
          <w:tcPr>
            <w:tcW w:w="955" w:type="dxa"/>
            <w:tcBorders>
              <w:right w:val="single" w:sz="12" w:space="0" w:color="auto"/>
            </w:tcBorders>
            <w:shd w:val="clear" w:color="auto" w:fill="auto"/>
          </w:tcPr>
          <w:p w14:paraId="12E28A4A" w14:textId="77777777" w:rsidR="00382AE3" w:rsidRDefault="00452925" w:rsidP="00193F8A">
            <w:r>
              <w:t>3</w:t>
            </w:r>
          </w:p>
        </w:tc>
      </w:tr>
      <w:tr w:rsidR="00382AE3" w14:paraId="12E28A4E" w14:textId="77777777" w:rsidTr="00382AE3">
        <w:tc>
          <w:tcPr>
            <w:tcW w:w="6912" w:type="dxa"/>
            <w:tcBorders>
              <w:left w:val="single" w:sz="12" w:space="0" w:color="auto"/>
            </w:tcBorders>
            <w:shd w:val="clear" w:color="auto" w:fill="auto"/>
          </w:tcPr>
          <w:p w14:paraId="12E28A4C" w14:textId="77777777" w:rsidR="00382AE3" w:rsidRDefault="002568BC" w:rsidP="00193F8A">
            <w:r>
              <w:t>Versobering salarissen en secundaire arbeidsvoorwaarden</w:t>
            </w:r>
          </w:p>
        </w:tc>
        <w:tc>
          <w:tcPr>
            <w:tcW w:w="955" w:type="dxa"/>
            <w:tcBorders>
              <w:right w:val="single" w:sz="12" w:space="0" w:color="auto"/>
            </w:tcBorders>
            <w:shd w:val="clear" w:color="auto" w:fill="auto"/>
          </w:tcPr>
          <w:p w14:paraId="12E28A4D" w14:textId="77777777" w:rsidR="00382AE3" w:rsidRDefault="00174DF8" w:rsidP="00193F8A">
            <w:r>
              <w:t>2</w:t>
            </w:r>
          </w:p>
        </w:tc>
      </w:tr>
      <w:tr w:rsidR="00382AE3" w:rsidRPr="00EA0AA8" w14:paraId="12E28A51" w14:textId="77777777" w:rsidTr="00B06CE6">
        <w:tc>
          <w:tcPr>
            <w:tcW w:w="6912" w:type="dxa"/>
            <w:tcBorders>
              <w:top w:val="single" w:sz="12" w:space="0" w:color="auto"/>
              <w:left w:val="single" w:sz="12" w:space="0" w:color="auto"/>
              <w:bottom w:val="single" w:sz="12" w:space="0" w:color="auto"/>
            </w:tcBorders>
            <w:shd w:val="clear" w:color="auto" w:fill="D0CECE"/>
          </w:tcPr>
          <w:p w14:paraId="12E28A4F" w14:textId="77777777" w:rsidR="00382AE3" w:rsidRPr="00EA0AA8" w:rsidRDefault="00382AE3" w:rsidP="00193F8A">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2E28A50" w14:textId="36A8BD2F" w:rsidR="00C11729" w:rsidRPr="00EA0AA8" w:rsidRDefault="00967101" w:rsidP="00193F8A">
            <w:pPr>
              <w:rPr>
                <w:b/>
              </w:rPr>
            </w:pPr>
            <w:r>
              <w:rPr>
                <w:b/>
              </w:rPr>
              <w:t>3</w:t>
            </w:r>
          </w:p>
        </w:tc>
      </w:tr>
    </w:tbl>
    <w:p w14:paraId="21B5F6AE" w14:textId="77777777" w:rsidR="00E35711" w:rsidRDefault="00E35711" w:rsidP="00C11729"/>
    <w:p w14:paraId="3C38F932" w14:textId="57EC767D" w:rsidR="00C11729" w:rsidRDefault="00C11729" w:rsidP="00B66F28">
      <w:r w:rsidRPr="00193994">
        <w:t>Ver</w:t>
      </w:r>
      <w:r>
        <w:t xml:space="preserve">andering sinds 2015: neutraal = </w:t>
      </w:r>
      <w:r w:rsidRPr="00193994">
        <w:sym w:font="Wingdings" w:char="F0E8"/>
      </w:r>
      <w:r>
        <w:tab/>
      </w:r>
    </w:p>
    <w:p w14:paraId="258A84A2" w14:textId="77777777" w:rsidR="003F17A2" w:rsidRDefault="003F17A2" w:rsidP="00B66F28"/>
    <w:p w14:paraId="12E28A53" w14:textId="0588C320" w:rsidR="00DE343C" w:rsidRPr="004D372F" w:rsidRDefault="00B3437D" w:rsidP="00C11729">
      <w:pPr>
        <w:pStyle w:val="Heading2"/>
        <w:tabs>
          <w:tab w:val="left" w:pos="-1162"/>
          <w:tab w:val="left" w:pos="0"/>
          <w:tab w:val="num" w:pos="1160"/>
        </w:tabs>
        <w:spacing w:line="240" w:lineRule="atLeast"/>
        <w:ind w:hanging="1162"/>
      </w:pPr>
      <w:bookmarkStart w:id="56" w:name="_Toc491437693"/>
      <w:r>
        <w:t>4</w:t>
      </w:r>
      <w:r w:rsidR="000A22CF">
        <w:t>.</w:t>
      </w:r>
      <w:r w:rsidR="00382AE3">
        <w:t>9</w:t>
      </w:r>
      <w:r w:rsidR="004D372F" w:rsidRPr="004D372F">
        <w:t xml:space="preserve"> </w:t>
      </w:r>
      <w:r w:rsidR="004D372F">
        <w:tab/>
      </w:r>
      <w:r w:rsidR="00DE343C" w:rsidRPr="004D372F">
        <w:t>Corruptiebestrijding</w:t>
      </w:r>
      <w:bookmarkEnd w:id="56"/>
      <w:r w:rsidR="000F53BE">
        <w:t xml:space="preserve"> </w:t>
      </w:r>
    </w:p>
    <w:p w14:paraId="12E28A54" w14:textId="3F7CFD62" w:rsidR="00A33E47" w:rsidRDefault="00A33E47" w:rsidP="00193F8A">
      <w:r>
        <w:t xml:space="preserve">De </w:t>
      </w:r>
      <w:r>
        <w:rPr>
          <w:i/>
        </w:rPr>
        <w:t xml:space="preserve">Office for Institutional Integrity </w:t>
      </w:r>
      <w:r w:rsidR="00D71BF7">
        <w:t xml:space="preserve">(OII), een onafhankelijk orgaan, heeft de </w:t>
      </w:r>
      <w:r w:rsidR="00CF5F8E">
        <w:t>verantwoordelijk</w:t>
      </w:r>
      <w:r w:rsidR="00295316">
        <w:t>heid</w:t>
      </w:r>
      <w:r w:rsidR="00CF5F8E">
        <w:t xml:space="preserve"> voor de preventie en identificatie van corruptie en fraude. In 2012 heeft de </w:t>
      </w:r>
      <w:r w:rsidR="009D1723">
        <w:t>Bank</w:t>
      </w:r>
      <w:r w:rsidR="00CF5F8E">
        <w:t xml:space="preserve"> de </w:t>
      </w:r>
      <w:r w:rsidR="00CF5F8E">
        <w:rPr>
          <w:i/>
        </w:rPr>
        <w:t xml:space="preserve">Code of Ethics and Professional Conduct </w:t>
      </w:r>
      <w:r w:rsidR="00CF5F8E">
        <w:t>opgezet.</w:t>
      </w:r>
      <w:r w:rsidR="0098687D">
        <w:t xml:space="preserve"> </w:t>
      </w:r>
      <w:r w:rsidR="00027B20">
        <w:t xml:space="preserve">Daarnaast neemt de </w:t>
      </w:r>
      <w:r w:rsidR="00095B22">
        <w:t>IDB-deel</w:t>
      </w:r>
      <w:r w:rsidR="00027B20">
        <w:t xml:space="preserve"> </w:t>
      </w:r>
      <w:r w:rsidR="00831366">
        <w:t xml:space="preserve">aan de </w:t>
      </w:r>
      <w:r w:rsidR="0098687D">
        <w:rPr>
          <w:i/>
        </w:rPr>
        <w:t xml:space="preserve">International Financial Institutions </w:t>
      </w:r>
      <w:r w:rsidR="00831366" w:rsidRPr="0098687D">
        <w:rPr>
          <w:i/>
        </w:rPr>
        <w:t>Anti-Corruption Task Force</w:t>
      </w:r>
      <w:r w:rsidR="00DF5DB4" w:rsidRPr="0098687D">
        <w:rPr>
          <w:i/>
        </w:rPr>
        <w:t>.</w:t>
      </w:r>
      <w:r w:rsidR="00DF5DB4">
        <w:t xml:space="preserve"> </w:t>
      </w:r>
    </w:p>
    <w:p w14:paraId="12E28A55" w14:textId="77777777" w:rsidR="00DF5DB4" w:rsidRDefault="00DF5DB4" w:rsidP="00193F8A">
      <w:pPr>
        <w:rPr>
          <w:color w:val="808080"/>
        </w:rPr>
      </w:pPr>
    </w:p>
    <w:p w14:paraId="12E28A56" w14:textId="69D8A2B4" w:rsidR="000F263A" w:rsidRDefault="000F263A" w:rsidP="00193F8A">
      <w:r>
        <w:t xml:space="preserve">De IIC heeft een integriteitsframework waarin de </w:t>
      </w:r>
      <w:r>
        <w:rPr>
          <w:i/>
        </w:rPr>
        <w:t xml:space="preserve">due diligence </w:t>
      </w:r>
      <w:r>
        <w:t xml:space="preserve">van integriteitsrisico’s bij alle projecten verplicht is om zodoende deze risico’s te kunnen identificeren, beoordelen en verminderen. Bij de IDB zijn de risico’s nog niet systematisch verwerkt in de projectuitvoering </w:t>
      </w:r>
      <w:r w:rsidR="001507A1">
        <w:t>maar w</w:t>
      </w:r>
      <w:r>
        <w:t>orden aangekaart bij vermoedens van onjuiste praktijken</w:t>
      </w:r>
      <w:r w:rsidR="008A3E5B">
        <w:t>.</w:t>
      </w:r>
      <w:r w:rsidR="001507A1">
        <w:t xml:space="preserve"> </w:t>
      </w:r>
      <w:r w:rsidR="008A3E5B">
        <w:t>V</w:t>
      </w:r>
      <w:r>
        <w:t xml:space="preserve">anwege IDB’s focus op de publieke sector zijn </w:t>
      </w:r>
      <w:r>
        <w:lastRenderedPageBreak/>
        <w:t xml:space="preserve">integriteitsrisico’s ook minder aan de orde. Wel worden de projectrisico’s, waaronder integriteitsrisico’s jaarlijks gemonitord, gerapporteerd en gepubliceerd in het </w:t>
      </w:r>
      <w:r>
        <w:rPr>
          <w:i/>
        </w:rPr>
        <w:t xml:space="preserve">Monitoring Report. </w:t>
      </w:r>
      <w:r>
        <w:t xml:space="preserve">De </w:t>
      </w:r>
      <w:r w:rsidR="009D1723">
        <w:t>Bank</w:t>
      </w:r>
      <w:r>
        <w:t xml:space="preserve"> werkt aan </w:t>
      </w:r>
      <w:r w:rsidR="006E2006" w:rsidRPr="006E2006">
        <w:t xml:space="preserve">een update van procedures </w:t>
      </w:r>
      <w:r>
        <w:t>rondom integriteit en corruptie</w:t>
      </w:r>
      <w:r w:rsidR="006E2006" w:rsidRPr="006E2006">
        <w:t xml:space="preserve"> </w:t>
      </w:r>
      <w:r>
        <w:t xml:space="preserve">en onderzoekt de </w:t>
      </w:r>
      <w:r w:rsidR="006E2006" w:rsidRPr="006E2006">
        <w:t xml:space="preserve">aanbeveling om OII te betrekken gedurende projectvoorbereiding. </w:t>
      </w:r>
    </w:p>
    <w:p w14:paraId="12E28A57" w14:textId="77777777" w:rsidR="000F263A" w:rsidRDefault="000F263A" w:rsidP="00193F8A"/>
    <w:p w14:paraId="12E28A58" w14:textId="77777777" w:rsidR="006E2006" w:rsidRDefault="004171C3" w:rsidP="00193F8A">
      <w:r>
        <w:t xml:space="preserve">In 2015 heeft de Raad van Bewindvoerders een nieuwe IDB Groep wijde aanpak van transparantie, belastingheffing, witwassen en terrorismebestrijding goedgekeurd. Met dit actieve beleid wordt bij </w:t>
      </w:r>
      <w:r w:rsidR="00635E51">
        <w:t xml:space="preserve">alle </w:t>
      </w:r>
      <w:r>
        <w:t xml:space="preserve">projecten </w:t>
      </w:r>
      <w:r w:rsidR="00635E51">
        <w:t>waarbij</w:t>
      </w:r>
      <w:r>
        <w:t xml:space="preserve"> </w:t>
      </w:r>
      <w:r w:rsidR="000824C4">
        <w:t xml:space="preserve">gesignaleerde </w:t>
      </w:r>
      <w:r>
        <w:t>landen</w:t>
      </w:r>
      <w:r w:rsidR="00635E51">
        <w:t xml:space="preserve"> zijn betrokken,</w:t>
      </w:r>
      <w:r>
        <w:t xml:space="preserve"> standaard de OII ingeschakeld om de mogelijke risico’s te onderzoeken en </w:t>
      </w:r>
      <w:r w:rsidR="000824C4">
        <w:t xml:space="preserve">nodige </w:t>
      </w:r>
      <w:r>
        <w:t xml:space="preserve">aanpassingen door te voeren. </w:t>
      </w:r>
    </w:p>
    <w:p w14:paraId="12E28A59" w14:textId="77777777" w:rsidR="00A5320C" w:rsidRPr="006E2006" w:rsidRDefault="00A5320C" w:rsidP="00193F8A"/>
    <w:p w14:paraId="12E28A5A" w14:textId="10662011" w:rsidR="00A5320C" w:rsidRPr="006E2006" w:rsidRDefault="00A5320C" w:rsidP="00193F8A">
      <w:r w:rsidRPr="006E2006">
        <w:t xml:space="preserve">De </w:t>
      </w:r>
      <w:r w:rsidRPr="000329DD">
        <w:rPr>
          <w:i/>
        </w:rPr>
        <w:t>Code of Ethics</w:t>
      </w:r>
      <w:r w:rsidRPr="006E2006">
        <w:t xml:space="preserve"> gebiedt alle werknemers om vermoedens van onjuiste praktijken te melden aan OII </w:t>
      </w:r>
      <w:r>
        <w:t>of</w:t>
      </w:r>
      <w:r w:rsidRPr="006E2006">
        <w:t xml:space="preserve"> het </w:t>
      </w:r>
      <w:r w:rsidRPr="006E2006">
        <w:rPr>
          <w:i/>
        </w:rPr>
        <w:t>Ethics Office</w:t>
      </w:r>
      <w:r w:rsidRPr="006E2006">
        <w:t xml:space="preserve">, afhankelijk of de pleger een IDB-werknemer is of van buitenaf komt. </w:t>
      </w:r>
      <w:r>
        <w:t xml:space="preserve">Daarnaast is </w:t>
      </w:r>
      <w:r>
        <w:rPr>
          <w:i/>
        </w:rPr>
        <w:t>Ethics Training</w:t>
      </w:r>
      <w:r>
        <w:t xml:space="preserve"> verplicht voor werknemers, hierin wordt onder andere de verplichting tot rapporteren benadrukt en de procedure toegelicht. Ook verzorgt OII trainingen in het doorzien van corruptie. </w:t>
      </w:r>
    </w:p>
    <w:p w14:paraId="12E28A5B" w14:textId="77777777" w:rsidR="006E2006" w:rsidRDefault="006E2006" w:rsidP="00193F8A">
      <w:pPr>
        <w:rPr>
          <w:color w:val="808080"/>
        </w:rPr>
      </w:pPr>
    </w:p>
    <w:p w14:paraId="12E28A5C" w14:textId="77777777" w:rsidR="006D48A0" w:rsidRDefault="006D48A0" w:rsidP="00193F8A">
      <w:r>
        <w:t>A</w:t>
      </w:r>
      <w:r w:rsidR="001449B0">
        <w:t xml:space="preserve">ls sancties worden uitgedeeld, worden deze geregistreerd </w:t>
      </w:r>
      <w:r>
        <w:t xml:space="preserve">en openbaar gemaakt. </w:t>
      </w:r>
      <w:r w:rsidR="00A5320C">
        <w:t>Het</w:t>
      </w:r>
      <w:r>
        <w:t xml:space="preserve"> jaarlijkse rapport van OII, met hierin een samenvatting van zijn activiteiten en de </w:t>
      </w:r>
      <w:r w:rsidR="001449B0" w:rsidRPr="001449B0">
        <w:t>werklast</w:t>
      </w:r>
      <w:r w:rsidRPr="001449B0">
        <w:t>,</w:t>
      </w:r>
      <w:r>
        <w:t xml:space="preserve"> wordt openbaar gemaakt maar deze bevat </w:t>
      </w:r>
      <w:r w:rsidR="001449B0">
        <w:t>g</w:t>
      </w:r>
      <w:r>
        <w:t xml:space="preserve">een details van </w:t>
      </w:r>
      <w:r w:rsidR="000F263A">
        <w:t xml:space="preserve">de </w:t>
      </w:r>
      <w:r>
        <w:t xml:space="preserve">individuele zaken die zijn afgerond in dat jaar. </w:t>
      </w:r>
      <w:r w:rsidR="00344FB2">
        <w:t xml:space="preserve">Daarnaast schrijft OII </w:t>
      </w:r>
      <w:r w:rsidR="00344FB2" w:rsidRPr="009A585F">
        <w:t>jaarlijks</w:t>
      </w:r>
      <w:r w:rsidR="00344FB2">
        <w:t xml:space="preserve"> een</w:t>
      </w:r>
      <w:r w:rsidR="00344FB2" w:rsidRPr="009A585F">
        <w:t xml:space="preserve"> rapport voor de Audit </w:t>
      </w:r>
      <w:r w:rsidR="00344FB2">
        <w:t>Commissie</w:t>
      </w:r>
      <w:r w:rsidR="00344FB2" w:rsidRPr="009A585F">
        <w:t>.</w:t>
      </w:r>
      <w:r w:rsidR="009B34DD">
        <w:t xml:space="preserve"> </w:t>
      </w:r>
    </w:p>
    <w:p w14:paraId="12E28A5D" w14:textId="77777777" w:rsidR="000F263A" w:rsidRPr="006D48A0" w:rsidRDefault="000F263A" w:rsidP="00193F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12E28A60" w14:textId="77777777" w:rsidTr="00B06CE6">
        <w:tc>
          <w:tcPr>
            <w:tcW w:w="6912" w:type="dxa"/>
            <w:tcBorders>
              <w:top w:val="single" w:sz="12" w:space="0" w:color="auto"/>
              <w:left w:val="single" w:sz="12" w:space="0" w:color="auto"/>
              <w:bottom w:val="single" w:sz="12" w:space="0" w:color="auto"/>
            </w:tcBorders>
            <w:shd w:val="clear" w:color="auto" w:fill="D0CECE"/>
          </w:tcPr>
          <w:p w14:paraId="12E28A5E" w14:textId="77777777" w:rsidR="002A310E" w:rsidRPr="00EA0AA8" w:rsidRDefault="002A310E" w:rsidP="00193F8A">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12E28A5F" w14:textId="77777777" w:rsidR="002A310E" w:rsidRPr="00EA0AA8" w:rsidRDefault="002A310E" w:rsidP="00193F8A">
            <w:pPr>
              <w:rPr>
                <w:b/>
              </w:rPr>
            </w:pPr>
            <w:r w:rsidRPr="00EA0AA8">
              <w:rPr>
                <w:b/>
              </w:rPr>
              <w:t>Score</w:t>
            </w:r>
          </w:p>
        </w:tc>
      </w:tr>
      <w:tr w:rsidR="002A310E" w14:paraId="12E28A63" w14:textId="77777777" w:rsidTr="00382AE3">
        <w:tc>
          <w:tcPr>
            <w:tcW w:w="6912" w:type="dxa"/>
            <w:tcBorders>
              <w:top w:val="single" w:sz="12" w:space="0" w:color="auto"/>
              <w:left w:val="single" w:sz="12" w:space="0" w:color="auto"/>
            </w:tcBorders>
            <w:shd w:val="clear" w:color="auto" w:fill="auto"/>
          </w:tcPr>
          <w:p w14:paraId="12E28A61" w14:textId="77777777" w:rsidR="002A310E" w:rsidRDefault="000F53BE" w:rsidP="00193F8A">
            <w:r>
              <w:t>Maatregelen rechtmatigheidsrisico’s</w:t>
            </w:r>
          </w:p>
        </w:tc>
        <w:tc>
          <w:tcPr>
            <w:tcW w:w="955" w:type="dxa"/>
            <w:tcBorders>
              <w:top w:val="single" w:sz="12" w:space="0" w:color="auto"/>
              <w:right w:val="single" w:sz="12" w:space="0" w:color="auto"/>
            </w:tcBorders>
            <w:shd w:val="clear" w:color="auto" w:fill="auto"/>
          </w:tcPr>
          <w:p w14:paraId="12E28A62" w14:textId="2A8340FB" w:rsidR="002A310E" w:rsidRDefault="00AF4B13" w:rsidP="00193F8A">
            <w:r>
              <w:t>3</w:t>
            </w:r>
          </w:p>
        </w:tc>
      </w:tr>
      <w:tr w:rsidR="002A310E" w14:paraId="12E28A66" w14:textId="77777777" w:rsidTr="00382AE3">
        <w:tc>
          <w:tcPr>
            <w:tcW w:w="6912" w:type="dxa"/>
            <w:tcBorders>
              <w:left w:val="single" w:sz="12" w:space="0" w:color="auto"/>
            </w:tcBorders>
            <w:shd w:val="clear" w:color="auto" w:fill="auto"/>
          </w:tcPr>
          <w:p w14:paraId="12E28A64" w14:textId="77777777" w:rsidR="002A310E" w:rsidRDefault="000F53BE" w:rsidP="00193F8A">
            <w:r>
              <w:t>Maatregelen doelmatigheidsrisico’s</w:t>
            </w:r>
          </w:p>
        </w:tc>
        <w:tc>
          <w:tcPr>
            <w:tcW w:w="955" w:type="dxa"/>
            <w:tcBorders>
              <w:right w:val="single" w:sz="12" w:space="0" w:color="auto"/>
            </w:tcBorders>
            <w:shd w:val="clear" w:color="auto" w:fill="auto"/>
          </w:tcPr>
          <w:p w14:paraId="12E28A65" w14:textId="77777777" w:rsidR="002A310E" w:rsidRDefault="000F263A" w:rsidP="00193F8A">
            <w:r>
              <w:t>2</w:t>
            </w:r>
          </w:p>
        </w:tc>
      </w:tr>
      <w:tr w:rsidR="002A310E" w14:paraId="12E28A69" w14:textId="77777777" w:rsidTr="00382AE3">
        <w:tc>
          <w:tcPr>
            <w:tcW w:w="6912" w:type="dxa"/>
            <w:tcBorders>
              <w:left w:val="single" w:sz="12" w:space="0" w:color="auto"/>
            </w:tcBorders>
            <w:shd w:val="clear" w:color="auto" w:fill="auto"/>
          </w:tcPr>
          <w:p w14:paraId="12E28A67" w14:textId="77777777" w:rsidR="002A310E" w:rsidRDefault="000F53BE" w:rsidP="00193F8A">
            <w:r>
              <w:t xml:space="preserve">Anti-corruptiebeleid </w:t>
            </w:r>
          </w:p>
        </w:tc>
        <w:tc>
          <w:tcPr>
            <w:tcW w:w="955" w:type="dxa"/>
            <w:tcBorders>
              <w:right w:val="single" w:sz="12" w:space="0" w:color="auto"/>
            </w:tcBorders>
            <w:shd w:val="clear" w:color="auto" w:fill="auto"/>
          </w:tcPr>
          <w:p w14:paraId="12E28A68" w14:textId="77777777" w:rsidR="002A310E" w:rsidRDefault="00692272" w:rsidP="00193F8A">
            <w:r>
              <w:t>3</w:t>
            </w:r>
          </w:p>
        </w:tc>
      </w:tr>
      <w:tr w:rsidR="000F53BE" w14:paraId="12E28A6C" w14:textId="77777777" w:rsidTr="00382AE3">
        <w:tc>
          <w:tcPr>
            <w:tcW w:w="6912" w:type="dxa"/>
            <w:tcBorders>
              <w:left w:val="single" w:sz="12" w:space="0" w:color="auto"/>
            </w:tcBorders>
            <w:shd w:val="clear" w:color="auto" w:fill="auto"/>
          </w:tcPr>
          <w:p w14:paraId="12E28A6A" w14:textId="77777777" w:rsidR="000F53BE" w:rsidRDefault="000F53BE" w:rsidP="00193F8A">
            <w:r>
              <w:t>Transparantie integriteitsschendingen</w:t>
            </w:r>
          </w:p>
        </w:tc>
        <w:tc>
          <w:tcPr>
            <w:tcW w:w="955" w:type="dxa"/>
            <w:tcBorders>
              <w:right w:val="single" w:sz="12" w:space="0" w:color="auto"/>
            </w:tcBorders>
            <w:shd w:val="clear" w:color="auto" w:fill="auto"/>
          </w:tcPr>
          <w:p w14:paraId="12E28A6B" w14:textId="40D8107E" w:rsidR="000F53BE" w:rsidRDefault="00AF4B13" w:rsidP="00193F8A">
            <w:r>
              <w:t>4</w:t>
            </w:r>
          </w:p>
        </w:tc>
      </w:tr>
      <w:tr w:rsidR="002A310E" w:rsidRPr="00EA0AA8" w14:paraId="12E28A6F" w14:textId="77777777" w:rsidTr="00B06CE6">
        <w:tc>
          <w:tcPr>
            <w:tcW w:w="6912" w:type="dxa"/>
            <w:tcBorders>
              <w:top w:val="single" w:sz="12" w:space="0" w:color="auto"/>
              <w:left w:val="single" w:sz="12" w:space="0" w:color="auto"/>
              <w:bottom w:val="single" w:sz="12" w:space="0" w:color="auto"/>
            </w:tcBorders>
            <w:shd w:val="clear" w:color="auto" w:fill="D0CECE"/>
          </w:tcPr>
          <w:p w14:paraId="12E28A6D" w14:textId="77777777" w:rsidR="002A310E" w:rsidRPr="00EA0AA8" w:rsidRDefault="002A310E" w:rsidP="00193F8A">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2E28A6E" w14:textId="77777777" w:rsidR="002A310E" w:rsidRPr="00EA0AA8" w:rsidRDefault="009B34DD" w:rsidP="00193F8A">
            <w:pPr>
              <w:rPr>
                <w:b/>
              </w:rPr>
            </w:pPr>
            <w:r>
              <w:rPr>
                <w:b/>
              </w:rPr>
              <w:t>3</w:t>
            </w:r>
          </w:p>
        </w:tc>
      </w:tr>
    </w:tbl>
    <w:p w14:paraId="30C43A3C" w14:textId="77777777" w:rsidR="00E35711" w:rsidRDefault="00E35711" w:rsidP="00193F8A"/>
    <w:p w14:paraId="12E28A70" w14:textId="42D2EC68" w:rsidR="00D32F98" w:rsidRPr="006A670C" w:rsidRDefault="00D32F98" w:rsidP="00D24162">
      <w:pPr>
        <w:ind w:firstLine="227"/>
      </w:pPr>
      <w:r w:rsidRPr="00193994">
        <w:t>Ver</w:t>
      </w:r>
      <w:r w:rsidR="005514B5">
        <w:t xml:space="preserve">andering sinds 2015: </w:t>
      </w:r>
      <w:r>
        <w:t>neutraal</w:t>
      </w:r>
      <w:r w:rsidRPr="00193994">
        <w:t xml:space="preserve"> = </w:t>
      </w:r>
      <w:r w:rsidRPr="00193994">
        <w:sym w:font="Wingdings" w:char="F0E8"/>
      </w:r>
    </w:p>
    <w:p w14:paraId="12E28A71" w14:textId="1D55B017" w:rsidR="00F05D27" w:rsidRDefault="00B3437D" w:rsidP="00193F8A">
      <w:pPr>
        <w:pStyle w:val="Heading1"/>
        <w:tabs>
          <w:tab w:val="num" w:pos="0"/>
        </w:tabs>
        <w:spacing w:after="240" w:line="240" w:lineRule="atLeast"/>
        <w:ind w:hanging="1162"/>
      </w:pPr>
      <w:bookmarkStart w:id="57" w:name="_Toc410397639"/>
      <w:bookmarkStart w:id="58" w:name="_Toc473812735"/>
      <w:bookmarkStart w:id="59" w:name="_Toc491437694"/>
      <w:r>
        <w:lastRenderedPageBreak/>
        <w:t>5</w:t>
      </w:r>
      <w:r w:rsidR="00F05D27">
        <w:t xml:space="preserve"> </w:t>
      </w:r>
      <w:r w:rsidR="00F05D27">
        <w:tab/>
      </w:r>
      <w:bookmarkStart w:id="60" w:name="_Toc348364679"/>
      <w:bookmarkStart w:id="61" w:name="_Toc473812732"/>
      <w:r w:rsidR="00F05D27">
        <w:t>Relevantie van de organisatie</w:t>
      </w:r>
      <w:bookmarkEnd w:id="60"/>
      <w:bookmarkEnd w:id="61"/>
      <w:bookmarkEnd w:id="59"/>
    </w:p>
    <w:p w14:paraId="7B512B68" w14:textId="0779A957" w:rsidR="00E1278B" w:rsidRDefault="00E1278B" w:rsidP="00E1278B">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61621FE8" w14:textId="77777777" w:rsidR="003F17A2" w:rsidRPr="00E1278B" w:rsidRDefault="003F17A2" w:rsidP="00E1278B"/>
    <w:p w14:paraId="12E28A79" w14:textId="4366DA64" w:rsidR="00F05D27" w:rsidRPr="004D372F" w:rsidRDefault="00B3437D" w:rsidP="00193F8A">
      <w:pPr>
        <w:pStyle w:val="Heading2"/>
        <w:tabs>
          <w:tab w:val="left" w:pos="-1162"/>
          <w:tab w:val="left" w:pos="0"/>
        </w:tabs>
        <w:spacing w:line="240" w:lineRule="atLeast"/>
        <w:ind w:hanging="1134"/>
      </w:pPr>
      <w:bookmarkStart w:id="62" w:name="_Toc473812733"/>
      <w:bookmarkStart w:id="63" w:name="_Toc491437695"/>
      <w:r>
        <w:t>5</w:t>
      </w:r>
      <w:r w:rsidR="00F05D27">
        <w:t xml:space="preserve">.1 </w:t>
      </w:r>
      <w:r w:rsidR="00F05D27">
        <w:tab/>
        <w:t>Relevantie voor Nederlandse BHOS-prioriteiten</w:t>
      </w:r>
      <w:bookmarkEnd w:id="62"/>
      <w:bookmarkEnd w:id="63"/>
    </w:p>
    <w:p w14:paraId="12E28A7E" w14:textId="78BD1DFB" w:rsidR="00F05D27" w:rsidRPr="001C0E34" w:rsidRDefault="00F05D27" w:rsidP="001C0E34">
      <w:pPr>
        <w:rPr>
          <w:u w:val="single"/>
        </w:rPr>
      </w:pPr>
      <w:r w:rsidRPr="001C0E34">
        <w:rPr>
          <w:u w:val="single"/>
        </w:rPr>
        <w:t>Voedselzekerheid</w:t>
      </w:r>
    </w:p>
    <w:p w14:paraId="12E28A7F" w14:textId="7B1A9D11" w:rsidR="00F05D27" w:rsidRDefault="00F05D27" w:rsidP="00193F8A">
      <w:r w:rsidRPr="001C0E34">
        <w:rPr>
          <w:i/>
        </w:rPr>
        <w:t xml:space="preserve">Relevant. </w:t>
      </w:r>
      <w:r>
        <w:t xml:space="preserve">Bij de negende kapitaalverhoging van 2010 werd voedselzekerheid aangewezen als een van de vijf prioritaire sector-strategieën binnen het volgende cluster: bescherming van het milieu, aandacht voor klimaatverandering, promotie van hernieuwbare energie en voedselzekerheid. </w:t>
      </w:r>
    </w:p>
    <w:p w14:paraId="12E28A80" w14:textId="0453D5E5" w:rsidR="00F05D27" w:rsidRDefault="00F05D27" w:rsidP="00193F8A">
      <w:r>
        <w:t xml:space="preserve">In dit kader poogt de </w:t>
      </w:r>
      <w:r w:rsidR="009D1723">
        <w:t>Bank</w:t>
      </w:r>
      <w:r>
        <w:t xml:space="preserve"> boeren toegang te geven tot verbeterde agrarische diensten en investeringen. </w:t>
      </w:r>
      <w:r w:rsidR="008A3E5B">
        <w:t>De</w:t>
      </w:r>
      <w:r>
        <w:t xml:space="preserve"> </w:t>
      </w:r>
      <w:r w:rsidR="008A3E5B">
        <w:t xml:space="preserve">doelstelling </w:t>
      </w:r>
      <w:r>
        <w:t>van 5 mln</w:t>
      </w:r>
      <w:r w:rsidR="005D667E">
        <w:t>.</w:t>
      </w:r>
      <w:r>
        <w:t xml:space="preserve"> boeren </w:t>
      </w:r>
      <w:r w:rsidR="008A3E5B">
        <w:t xml:space="preserve">is </w:t>
      </w:r>
      <w:r>
        <w:t>echter niet gehaald; momenteel worden 3 mln</w:t>
      </w:r>
      <w:r w:rsidR="005D667E">
        <w:t>.</w:t>
      </w:r>
      <w:r>
        <w:t xml:space="preserve"> boeren ondersteund door de </w:t>
      </w:r>
      <w:r w:rsidR="009D1723">
        <w:t>Bank</w:t>
      </w:r>
      <w:r w:rsidR="00D55EF3">
        <w:t>.</w:t>
      </w:r>
      <w:r>
        <w:t xml:space="preserve"> </w:t>
      </w:r>
    </w:p>
    <w:p w14:paraId="12E28A8B" w14:textId="77777777" w:rsidR="00F05D27" w:rsidRDefault="00F05D27" w:rsidP="00193F8A"/>
    <w:p w14:paraId="12E28A8C" w14:textId="77777777" w:rsidR="00F05D27" w:rsidRPr="001C0E34" w:rsidRDefault="00F05D27" w:rsidP="001C0E34">
      <w:pPr>
        <w:rPr>
          <w:u w:val="single"/>
        </w:rPr>
      </w:pPr>
      <w:r w:rsidRPr="001C0E34">
        <w:rPr>
          <w:u w:val="single"/>
        </w:rPr>
        <w:t xml:space="preserve">Gendergelijkheid </w:t>
      </w:r>
    </w:p>
    <w:p w14:paraId="12E28A8D" w14:textId="6C1475A9" w:rsidR="00F05D27" w:rsidRDefault="00F05D27" w:rsidP="00193F8A">
      <w:r w:rsidRPr="001C0E34">
        <w:rPr>
          <w:i/>
        </w:rPr>
        <w:t>Relevant.</w:t>
      </w:r>
      <w:r>
        <w:t xml:space="preserve"> Gendergelijkheid is een dwarsdoorsnijdend thema, dat in beginsel in alle IDB-programma’s wordt meegenomen. In 2014 heeft de </w:t>
      </w:r>
      <w:r w:rsidR="009D1723">
        <w:t>Bank</w:t>
      </w:r>
      <w:r>
        <w:t xml:space="preserve"> </w:t>
      </w:r>
      <w:r w:rsidRPr="00BE1DD8">
        <w:t>een</w:t>
      </w:r>
      <w:r>
        <w:t xml:space="preserve"> </w:t>
      </w:r>
      <w:r>
        <w:rPr>
          <w:i/>
        </w:rPr>
        <w:t xml:space="preserve">Gender Action Plan for Operations </w:t>
      </w:r>
      <w:r>
        <w:t xml:space="preserve">opgesteld om het aantal projecten dat direct investeert in gendergelijkheid te vergroten; in april 2017 zullen </w:t>
      </w:r>
      <w:r w:rsidR="00587AA5">
        <w:t>de</w:t>
      </w:r>
      <w:r>
        <w:t xml:space="preserve"> resultaten worden gepubliceerd</w:t>
      </w:r>
      <w:r w:rsidR="005D667E">
        <w:t>.</w:t>
      </w:r>
      <w:r>
        <w:t xml:space="preserve"> </w:t>
      </w:r>
    </w:p>
    <w:p w14:paraId="12E28A8E" w14:textId="77777777" w:rsidR="00F05D27" w:rsidRDefault="00F05D27" w:rsidP="00193F8A"/>
    <w:p w14:paraId="12E28A8F" w14:textId="2734040D" w:rsidR="00587AA5" w:rsidRDefault="00F05D27" w:rsidP="00193F8A">
      <w:r>
        <w:t xml:space="preserve">De </w:t>
      </w:r>
      <w:r w:rsidR="009D1723">
        <w:t>Bank</w:t>
      </w:r>
      <w:r>
        <w:t xml:space="preserve"> heeft </w:t>
      </w:r>
      <w:r w:rsidR="00FA2750">
        <w:t>haar</w:t>
      </w:r>
      <w:r>
        <w:t xml:space="preserve"> financiële bronnen voor ondersteuning van gendergelijkheid verviervoudigd in 4 jaar. De IDB-leningen aan overheden met gender-gerelateerde resultaten steeg van 11% in 2011 naar 47% in 2015</w:t>
      </w:r>
      <w:r w:rsidR="00D55EF3">
        <w:t>.</w:t>
      </w:r>
      <w:r>
        <w:t xml:space="preserve"> </w:t>
      </w:r>
      <w:r w:rsidRPr="00BE1DD8">
        <w:t>De</w:t>
      </w:r>
      <w:r>
        <w:t xml:space="preserve"> MDR van het Verenigd Koninkrijk benadrukt de toegenomen focus op geweld tegen vrouwen en economische </w:t>
      </w:r>
      <w:r>
        <w:rPr>
          <w:i/>
        </w:rPr>
        <w:t>empowerment</w:t>
      </w:r>
      <w:r w:rsidR="00D55EF3">
        <w:rPr>
          <w:i/>
        </w:rPr>
        <w:t xml:space="preserve">. </w:t>
      </w:r>
      <w:r w:rsidR="00F64FC4">
        <w:t xml:space="preserve">Zo hebben in 2016 300.000 vrouwen geprofiteerd van programma’s ter bevordering van economische </w:t>
      </w:r>
      <w:r w:rsidR="00F64FC4" w:rsidRPr="00F64FC4">
        <w:rPr>
          <w:i/>
        </w:rPr>
        <w:t>empowerment</w:t>
      </w:r>
      <w:r w:rsidR="00F64FC4">
        <w:rPr>
          <w:i/>
        </w:rPr>
        <w:t xml:space="preserve"> </w:t>
      </w:r>
      <w:r w:rsidR="00F64FC4">
        <w:t>en is er extra aandacht voor bedrijven geleid door vrouwen.</w:t>
      </w:r>
    </w:p>
    <w:p w14:paraId="12E28A90" w14:textId="77777777" w:rsidR="00587AA5" w:rsidRDefault="00587AA5" w:rsidP="00193F8A"/>
    <w:p w14:paraId="12E28A91" w14:textId="2465FEE8" w:rsidR="00F05D27" w:rsidRDefault="00F05D27" w:rsidP="00193F8A">
      <w:r>
        <w:t xml:space="preserve">Het </w:t>
      </w:r>
      <w:r>
        <w:rPr>
          <w:i/>
        </w:rPr>
        <w:t>Multilateraal Investment Fund</w:t>
      </w:r>
      <w:r>
        <w:t xml:space="preserve"> heeft een sterke gender focus: 60% van de ontvangers van afgeronde projecten zijn vrouwen en 42% van de begunstigde bedrijven worden geleid door vrouwen.</w:t>
      </w:r>
      <w:r w:rsidR="0035475B">
        <w:t xml:space="preserve"> </w:t>
      </w:r>
      <w:r>
        <w:t xml:space="preserve">De MOPAN benadrukt dat gender </w:t>
      </w:r>
      <w:r w:rsidRPr="00836E87">
        <w:rPr>
          <w:i/>
        </w:rPr>
        <w:t>mainstreaming</w:t>
      </w:r>
      <w:r>
        <w:t xml:space="preserve"> in de </w:t>
      </w:r>
      <w:r w:rsidR="009D1723">
        <w:t>Bank</w:t>
      </w:r>
      <w:r>
        <w:t xml:space="preserve"> de goede kant op gaat maar nog verdere verbetering vraagt. </w:t>
      </w:r>
    </w:p>
    <w:p w14:paraId="12E28A92" w14:textId="77777777" w:rsidR="00F05D27" w:rsidRDefault="00F05D27" w:rsidP="00193F8A"/>
    <w:p w14:paraId="12E28A93" w14:textId="77777777" w:rsidR="00CC2505" w:rsidRPr="001C0E34" w:rsidRDefault="00F05D27" w:rsidP="001C0E34">
      <w:pPr>
        <w:rPr>
          <w:u w:val="single"/>
        </w:rPr>
      </w:pPr>
      <w:r w:rsidRPr="001C0E34">
        <w:rPr>
          <w:u w:val="single"/>
        </w:rPr>
        <w:t xml:space="preserve">Klimaat </w:t>
      </w:r>
    </w:p>
    <w:p w14:paraId="12E28A94" w14:textId="340D450B" w:rsidR="00F05D27" w:rsidRDefault="00F05D27" w:rsidP="00193F8A">
      <w:r w:rsidRPr="001C0E34">
        <w:rPr>
          <w:i/>
        </w:rPr>
        <w:t>Relevant.</w:t>
      </w:r>
      <w:r>
        <w:t xml:space="preserve"> De IDB heeft bij de kapitaalverhoging in 2010 besloten om 25% van de leningen te bestemmen voor het cluster klimaatverandering, duurzame energie en milieubescherming. Bij het Parijs Akkoord heeft de </w:t>
      </w:r>
      <w:r w:rsidR="009D1723">
        <w:t>Bank</w:t>
      </w:r>
      <w:r>
        <w:t xml:space="preserve"> zich gecommitteerd aan een verdubbeling van zijn klimaatfinanciering naar 30% in 2020.</w:t>
      </w:r>
      <w:r w:rsidR="00D55EF3">
        <w:t xml:space="preserve"> </w:t>
      </w:r>
      <w:r>
        <w:t xml:space="preserve">Daarnaast is klimaatverandering een van de dwarsdoorsnijdende thema’s in de </w:t>
      </w:r>
      <w:r w:rsidRPr="00CC2505">
        <w:rPr>
          <w:i/>
        </w:rPr>
        <w:t>Update to the Institutional Strategy</w:t>
      </w:r>
      <w:r>
        <w:t>. De IDB richt zich zowel op de mitigatie</w:t>
      </w:r>
      <w:r w:rsidR="000307AC">
        <w:t xml:space="preserve"> (79,1% van de projecten)</w:t>
      </w:r>
      <w:r>
        <w:t xml:space="preserve"> als adaptatie</w:t>
      </w:r>
      <w:r w:rsidR="000307AC">
        <w:t xml:space="preserve"> (20,9%). </w:t>
      </w:r>
    </w:p>
    <w:p w14:paraId="12E28A95" w14:textId="77777777" w:rsidR="000307AC" w:rsidRDefault="000307AC" w:rsidP="00193F8A"/>
    <w:p w14:paraId="12E28A97" w14:textId="24E4368A" w:rsidR="00F05D27" w:rsidRDefault="00F05D27" w:rsidP="00193F8A">
      <w:r>
        <w:lastRenderedPageBreak/>
        <w:t>In 2015 bedroeg de totale klimaatfinancie</w:t>
      </w:r>
      <w:r w:rsidR="00095B22">
        <w:t>ring van de IDB USD 2,8 mld., waarvan USD 1,7 ml</w:t>
      </w:r>
      <w:r>
        <w:t>d</w:t>
      </w:r>
      <w:r w:rsidR="005D667E">
        <w:t>.</w:t>
      </w:r>
      <w:r>
        <w:t xml:space="preserve"> uit IDB’s eigen kapitaal.</w:t>
      </w:r>
      <w:r w:rsidRPr="002D5ABC">
        <w:t xml:space="preserve"> </w:t>
      </w:r>
      <w:r>
        <w:t>In 2016 had 21,9% van de goedgekeurde leningen en technische capaciteiten progra</w:t>
      </w:r>
      <w:r w:rsidR="00095B22">
        <w:t>mma’s (ter waarde van USD 2,7 ml</w:t>
      </w:r>
      <w:r>
        <w:t>d.) betrekking op klimaatverandering en duurzaamheid.</w:t>
      </w:r>
      <w:r w:rsidR="0035475B">
        <w:t xml:space="preserve"> </w:t>
      </w:r>
      <w:r w:rsidR="008965F7">
        <w:t xml:space="preserve">Zo heeft de IDB 7 nationale </w:t>
      </w:r>
      <w:r w:rsidR="008965F7" w:rsidRPr="007A1E03">
        <w:rPr>
          <w:i/>
        </w:rPr>
        <w:t>frameworks</w:t>
      </w:r>
      <w:r w:rsidR="008965F7">
        <w:t xml:space="preserve"> voor klimaatverandering ondersteund en komt </w:t>
      </w:r>
      <w:r w:rsidR="007A1E03">
        <w:t>100</w:t>
      </w:r>
      <w:r w:rsidR="008965F7">
        <w:t xml:space="preserve">% van de IDB-gefinancierde stroomopwekking uit </w:t>
      </w:r>
      <w:r w:rsidR="006A03A3">
        <w:t>koolstofarme energiebronnen.</w:t>
      </w:r>
      <w:r w:rsidR="0035475B">
        <w:t xml:space="preserve"> </w:t>
      </w:r>
      <w:r w:rsidR="00A434F5">
        <w:t>Naar verwachting zorgen de</w:t>
      </w:r>
      <w:r w:rsidR="00176C2A">
        <w:t xml:space="preserve"> door de Bank ondersteunde</w:t>
      </w:r>
      <w:r w:rsidR="00A434F5">
        <w:t xml:space="preserve"> investeringen voor het uitblijven van 4,5 </w:t>
      </w:r>
      <w:r w:rsidR="00095B22">
        <w:t>mln.</w:t>
      </w:r>
      <w:r w:rsidR="00A434F5">
        <w:t xml:space="preserve"> ton Co</w:t>
      </w:r>
      <w:r w:rsidR="00A434F5">
        <w:rPr>
          <w:vertAlign w:val="subscript"/>
        </w:rPr>
        <w:t>2</w:t>
      </w:r>
      <w:r w:rsidR="00A434F5">
        <w:t xml:space="preserve"> uitstoot </w:t>
      </w:r>
      <w:r w:rsidR="000724C7">
        <w:t>op jaarbasis.</w:t>
      </w:r>
    </w:p>
    <w:p w14:paraId="1F183849" w14:textId="77777777" w:rsidR="008965F7" w:rsidRDefault="008965F7" w:rsidP="00193F8A"/>
    <w:p w14:paraId="12E28A98" w14:textId="7B96C94B" w:rsidR="00CC2505" w:rsidRPr="001C0E34" w:rsidRDefault="00F05D27" w:rsidP="001C0E34">
      <w:pPr>
        <w:rPr>
          <w:u w:val="single"/>
        </w:rPr>
      </w:pPr>
      <w:r w:rsidRPr="001C0E34">
        <w:rPr>
          <w:u w:val="single"/>
        </w:rPr>
        <w:t xml:space="preserve">Private </w:t>
      </w:r>
      <w:r w:rsidR="00EA6A31">
        <w:rPr>
          <w:u w:val="single"/>
        </w:rPr>
        <w:t>s</w:t>
      </w:r>
      <w:r w:rsidRPr="001C0E34">
        <w:rPr>
          <w:u w:val="single"/>
        </w:rPr>
        <w:t xml:space="preserve">ector </w:t>
      </w:r>
      <w:r w:rsidR="00EA6A31">
        <w:rPr>
          <w:u w:val="single"/>
        </w:rPr>
        <w:t>ontwikkeling</w:t>
      </w:r>
    </w:p>
    <w:p w14:paraId="12E28A99" w14:textId="04F0BFA7" w:rsidR="00F05D27" w:rsidRDefault="00F05D27" w:rsidP="00193F8A">
      <w:r w:rsidRPr="001C0E34">
        <w:rPr>
          <w:i/>
        </w:rPr>
        <w:t>Relevant.</w:t>
      </w:r>
      <w:r>
        <w:t xml:space="preserve"> Bij de negende kapitaalverhoging is afgesproken een extra impuls te geven aan private sector ontwikkeling, zowel via leningen en assistentie aan de publieke als de private sector. Bij de Jaarvergadering in 2015 is de </w:t>
      </w:r>
      <w:r w:rsidRPr="00CC2505">
        <w:rPr>
          <w:i/>
        </w:rPr>
        <w:t>Inter-American Investment Corporation</w:t>
      </w:r>
      <w:r>
        <w:t xml:space="preserve"> opgericht uit de consolidatie van 3 loketten, welke zich volledige richt op de private sector. In 2016 heeft de IIC 162 projecten, met </w:t>
      </w:r>
      <w:r w:rsidR="00095B22">
        <w:t>een totale waarde van USD 2,2 ml</w:t>
      </w:r>
      <w:r>
        <w:t xml:space="preserve">d. goedgekeurd, dit zijn voornamelijk leningen en garanties. Momenteel voldoet de kwantiteit van de actieve projecten nog niet aan de </w:t>
      </w:r>
      <w:r w:rsidR="00D64DEF">
        <w:t>doelstelling</w:t>
      </w:r>
      <w:r w:rsidR="001507A1">
        <w:t xml:space="preserve"> door </w:t>
      </w:r>
      <w:r>
        <w:t>opstartproblemen</w:t>
      </w:r>
      <w:r w:rsidR="001507A1">
        <w:t>. Naar verwachting zal de kwantiteit zich in de loop der jaren verbeteren</w:t>
      </w:r>
      <w:r>
        <w:t>.</w:t>
      </w:r>
      <w:r w:rsidR="0035475B">
        <w:t xml:space="preserve"> </w:t>
      </w:r>
    </w:p>
    <w:p w14:paraId="12E28A9B" w14:textId="0B6FA774" w:rsidR="00F05D27" w:rsidRDefault="004E403F" w:rsidP="00193F8A">
      <w:r>
        <w:br/>
        <w:t>In de periode 2012-2015 heeft de Bank zijn 2,6 mln</w:t>
      </w:r>
      <w:r w:rsidR="00095B22">
        <w:t>.</w:t>
      </w:r>
      <w:r>
        <w:t xml:space="preserve"> micro-, kleine of middenbedrijven gefinancierd. Hierbij hebben ze de doelstelling van 120.000 ruimschoots behaald. </w:t>
      </w:r>
      <w:r w:rsidR="00F05D27">
        <w:t xml:space="preserve">Het </w:t>
      </w:r>
      <w:r w:rsidR="00F05D27">
        <w:rPr>
          <w:i/>
        </w:rPr>
        <w:t>Multilateral Investment Fund</w:t>
      </w:r>
      <w:r w:rsidR="00F05D27">
        <w:t xml:space="preserve"> richt </w:t>
      </w:r>
      <w:r w:rsidR="00EE11A3">
        <w:t xml:space="preserve">zich specifiek </w:t>
      </w:r>
      <w:r w:rsidR="00F05D27">
        <w:t xml:space="preserve">op het midden- en kleinbedrijf met leningen onder zachte voorwaarden, schenkingen en </w:t>
      </w:r>
      <w:r w:rsidR="00F05D27">
        <w:rPr>
          <w:i/>
        </w:rPr>
        <w:t>equity investeringen</w:t>
      </w:r>
      <w:r w:rsidR="00F05D27">
        <w:t xml:space="preserve">. In 2016 heeft het MIF USD 80 mln. uitgekeerd waarvan 45% naar de armste landen in de regio. In de 2015 evaluatie geeft het MIF aan </w:t>
      </w:r>
      <w:r w:rsidR="000307AC">
        <w:t xml:space="preserve">dat de </w:t>
      </w:r>
      <w:r w:rsidR="00F05D27">
        <w:t>76 afgeronde projecten in 2015 directe positieve gevolgen hebben voor meer dan 300.000 mensen, 140.000 bedrijven en 25.000 huishoudens.</w:t>
      </w:r>
    </w:p>
    <w:p w14:paraId="7FC82D1E" w14:textId="5AFFA804" w:rsidR="00EC4584" w:rsidRDefault="00EC4584" w:rsidP="00193F8A"/>
    <w:p w14:paraId="3B9F423B" w14:textId="77777777" w:rsidR="001C0E34" w:rsidRPr="001C0E34" w:rsidRDefault="001C0E34" w:rsidP="001C0E34">
      <w:pPr>
        <w:rPr>
          <w:u w:val="single"/>
        </w:rPr>
      </w:pPr>
      <w:r w:rsidRPr="001C0E34">
        <w:rPr>
          <w:u w:val="single"/>
        </w:rPr>
        <w:t>Water</w:t>
      </w:r>
    </w:p>
    <w:p w14:paraId="67BCACC5" w14:textId="7D8456AB" w:rsidR="001C0E34" w:rsidRDefault="001C0E34" w:rsidP="001C0E34">
      <w:r w:rsidRPr="001C0E34">
        <w:rPr>
          <w:i/>
        </w:rPr>
        <w:t>Beperkt relevant.</w:t>
      </w:r>
      <w:r>
        <w:t xml:space="preserve"> De IDB is in Latijns America actief in de watersector. Momenteel lopen er 75 actieve projecten in de water en sanitatie sector.</w:t>
      </w:r>
      <w:r w:rsidR="0035475B">
        <w:t xml:space="preserve"> </w:t>
      </w:r>
      <w:r>
        <w:t xml:space="preserve">Water wordt echter niet gezien als een (strategische) prioriteit.  </w:t>
      </w:r>
    </w:p>
    <w:p w14:paraId="4C3CEB84" w14:textId="77777777" w:rsidR="001C0E34" w:rsidRDefault="001C0E34" w:rsidP="001C0E34"/>
    <w:p w14:paraId="5823FAA6" w14:textId="2486ECA5" w:rsidR="001C0E34" w:rsidRDefault="001C0E34" w:rsidP="001C0E34">
      <w:r>
        <w:t xml:space="preserve">Binnen water richt de IDB zich voornamelijk op het verbeteren van de toegang tot water en sanitatie voor huishoudens. </w:t>
      </w:r>
      <w:r w:rsidR="00176C2A">
        <w:t>In 2016 hebben 280.000 huishoudens (verbeterde) toegang gekregen tot drinkwater en 300.000 huishoudens tot (verbeterde) sanitatie.</w:t>
      </w:r>
      <w:r>
        <w:t xml:space="preserve"> Daarnaast draagt de IDB met USD 85 mln. uit eigen kapitaal en met USD 72. mln. via cofinanciering, bij aan de water en sanitatie sector in Haïti.</w:t>
      </w:r>
    </w:p>
    <w:p w14:paraId="61B84086" w14:textId="30D21773" w:rsidR="001C0E34" w:rsidRPr="0035475B" w:rsidRDefault="001C0E34" w:rsidP="001C0E34"/>
    <w:p w14:paraId="74902D2B" w14:textId="713679C7" w:rsidR="001C0E34" w:rsidRPr="001C0E34" w:rsidRDefault="001C0E34" w:rsidP="001C0E34">
      <w:pPr>
        <w:rPr>
          <w:u w:val="single"/>
        </w:rPr>
      </w:pPr>
      <w:r w:rsidRPr="001C0E34">
        <w:rPr>
          <w:u w:val="single"/>
        </w:rPr>
        <w:t xml:space="preserve">Veiligheid en </w:t>
      </w:r>
      <w:r w:rsidR="00EA6A31">
        <w:rPr>
          <w:u w:val="single"/>
        </w:rPr>
        <w:t>r</w:t>
      </w:r>
      <w:r w:rsidRPr="001C0E34">
        <w:rPr>
          <w:u w:val="single"/>
        </w:rPr>
        <w:t xml:space="preserve">echtsorde </w:t>
      </w:r>
    </w:p>
    <w:p w14:paraId="1F55DEE5" w14:textId="223AA22D" w:rsidR="00E35711" w:rsidRDefault="001C0E34" w:rsidP="00901CAE">
      <w:r w:rsidRPr="001C0E34">
        <w:rPr>
          <w:i/>
        </w:rPr>
        <w:t>Beperkt relevant.</w:t>
      </w:r>
      <w:r>
        <w:t xml:space="preserve"> Binnen veiligheid en rechtsorde geeft de IDB voornamelijk aandacht aan de verbetering van </w:t>
      </w:r>
      <w:r w:rsidRPr="00B73EC6">
        <w:rPr>
          <w:i/>
        </w:rPr>
        <w:t>citizen security</w:t>
      </w:r>
      <w:r>
        <w:t xml:space="preserve">, waarbij de Bank fungeert als kennis-institutie. De Bank heeft </w:t>
      </w:r>
      <w:r w:rsidR="00FA6265">
        <w:t>haar</w:t>
      </w:r>
      <w:r>
        <w:t xml:space="preserve"> target op dit gebied ruimschoots behaald; </w:t>
      </w:r>
      <w:r w:rsidR="00B94384">
        <w:t xml:space="preserve">in 2016 </w:t>
      </w:r>
      <w:r>
        <w:t xml:space="preserve">profiteerden </w:t>
      </w:r>
      <w:r w:rsidR="00B94384">
        <w:t xml:space="preserve">136 steden van </w:t>
      </w:r>
      <w:r>
        <w:rPr>
          <w:i/>
        </w:rPr>
        <w:t xml:space="preserve">citizen security </w:t>
      </w:r>
      <w:r>
        <w:t xml:space="preserve">projecten waar de Bank had ingezet op </w:t>
      </w:r>
      <w:r w:rsidR="00B94384">
        <w:t>52</w:t>
      </w:r>
      <w:r>
        <w:t xml:space="preserve"> steden</w:t>
      </w:r>
      <w:r w:rsidR="00B94384">
        <w:t xml:space="preserve"> in de periode 2016-2019</w:t>
      </w:r>
      <w:r>
        <w:t xml:space="preserve">. De Bank is relevanter op het gebied van </w:t>
      </w:r>
      <w:r w:rsidRPr="006228F2">
        <w:rPr>
          <w:i/>
        </w:rPr>
        <w:t>Good goverance</w:t>
      </w:r>
      <w:r>
        <w:t>, met name institutionele capaciteit, dit is een dwarsdoorsnijdend thema van de Bank.</w:t>
      </w:r>
      <w:r w:rsidR="0035475B">
        <w:t xml:space="preserve"> </w:t>
      </w:r>
    </w:p>
    <w:p w14:paraId="0836970D" w14:textId="77777777" w:rsidR="00E35711" w:rsidRDefault="00E35711" w:rsidP="00901CAE"/>
    <w:p w14:paraId="0A186A67" w14:textId="77777777" w:rsidR="001C0E34" w:rsidRPr="001C0E34" w:rsidRDefault="001C0E34" w:rsidP="001C0E34">
      <w:pPr>
        <w:rPr>
          <w:u w:val="single"/>
        </w:rPr>
      </w:pPr>
      <w:r w:rsidRPr="001C0E34">
        <w:rPr>
          <w:u w:val="single"/>
        </w:rPr>
        <w:t xml:space="preserve">Humanitaire hulp </w:t>
      </w:r>
    </w:p>
    <w:p w14:paraId="65B6A93D" w14:textId="77777777" w:rsidR="001C0E34" w:rsidRPr="001C0E34" w:rsidRDefault="001C0E34" w:rsidP="001C0E34">
      <w:pPr>
        <w:rPr>
          <w:i/>
        </w:rPr>
      </w:pPr>
      <w:r w:rsidRPr="001C0E34">
        <w:rPr>
          <w:i/>
        </w:rPr>
        <w:t xml:space="preserve">Beperkt relevant. </w:t>
      </w:r>
    </w:p>
    <w:p w14:paraId="2B876F5D" w14:textId="42B02480" w:rsidR="001C0E34" w:rsidRPr="00293CFF" w:rsidRDefault="001C0E34" w:rsidP="001C0E34">
      <w:r>
        <w:t>De IDB is de grootste donor van Haïti met jaarlijkse schenkingen van USD</w:t>
      </w:r>
      <w:r w:rsidR="00C75A9A">
        <w:t xml:space="preserve"> 200 mln. tot in totaal USD 2 ml</w:t>
      </w:r>
      <w:r>
        <w:t xml:space="preserve">d. Daarnaast ondersteunt de IDB met speciale programma’s lidstaten die worden getroffen door natuurrampen. </w:t>
      </w:r>
    </w:p>
    <w:p w14:paraId="7464B11C" w14:textId="045C0AEA" w:rsidR="00180E29" w:rsidRDefault="00180E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8"/>
        <w:gridCol w:w="1905"/>
        <w:gridCol w:w="1929"/>
        <w:gridCol w:w="1895"/>
      </w:tblGrid>
      <w:tr w:rsidR="00C61586" w14:paraId="12E28AA7" w14:textId="77777777" w:rsidTr="00180E29">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2E28AA6" w14:textId="5A150B70" w:rsidR="00C61586" w:rsidRPr="00792AB2" w:rsidRDefault="00C61586" w:rsidP="00080877">
            <w:pPr>
              <w:shd w:val="clear" w:color="auto" w:fill="BFBFBF" w:themeFill="background1" w:themeFillShade="BF"/>
              <w:rPr>
                <w:b/>
              </w:rPr>
            </w:pPr>
            <w:r>
              <w:rPr>
                <w:b/>
              </w:rPr>
              <w:lastRenderedPageBreak/>
              <w:t>Relevantie voor Nederlandse BHOS-prioriteiten</w:t>
            </w:r>
          </w:p>
        </w:tc>
      </w:tr>
      <w:tr w:rsidR="00F05D27" w14:paraId="12E28AAC" w14:textId="77777777" w:rsidTr="00180E29">
        <w:tc>
          <w:tcPr>
            <w:tcW w:w="1968" w:type="dxa"/>
            <w:tcBorders>
              <w:top w:val="single" w:sz="12" w:space="0" w:color="auto"/>
              <w:left w:val="single" w:sz="12" w:space="0" w:color="auto"/>
              <w:bottom w:val="single" w:sz="12" w:space="0" w:color="auto"/>
            </w:tcBorders>
            <w:shd w:val="clear" w:color="auto" w:fill="BFBFBF" w:themeFill="background1" w:themeFillShade="BF"/>
          </w:tcPr>
          <w:p w14:paraId="12E28AA8" w14:textId="77777777" w:rsidR="00F05D27" w:rsidRPr="00792AB2" w:rsidRDefault="00F05D27" w:rsidP="00080877">
            <w:pPr>
              <w:shd w:val="clear" w:color="auto" w:fill="BFBFBF" w:themeFill="background1" w:themeFillShade="BF"/>
              <w:rPr>
                <w:b/>
                <w:i/>
              </w:rPr>
            </w:pPr>
          </w:p>
        </w:tc>
        <w:tc>
          <w:tcPr>
            <w:tcW w:w="1905" w:type="dxa"/>
            <w:tcBorders>
              <w:top w:val="single" w:sz="12" w:space="0" w:color="auto"/>
              <w:bottom w:val="single" w:sz="12" w:space="0" w:color="auto"/>
            </w:tcBorders>
            <w:shd w:val="clear" w:color="auto" w:fill="BFBFBF" w:themeFill="background1" w:themeFillShade="BF"/>
          </w:tcPr>
          <w:p w14:paraId="12E28AA9" w14:textId="77777777" w:rsidR="00F05D27" w:rsidRPr="00792AB2" w:rsidRDefault="00F05D27" w:rsidP="00080877">
            <w:pPr>
              <w:shd w:val="clear" w:color="auto" w:fill="BFBFBF" w:themeFill="background1" w:themeFillShade="BF"/>
              <w:rPr>
                <w:b/>
              </w:rPr>
            </w:pPr>
            <w:r w:rsidRPr="00792AB2">
              <w:rPr>
                <w:b/>
              </w:rPr>
              <w:t>Uitvoerend</w:t>
            </w:r>
          </w:p>
        </w:tc>
        <w:tc>
          <w:tcPr>
            <w:tcW w:w="1929" w:type="dxa"/>
            <w:tcBorders>
              <w:top w:val="single" w:sz="12" w:space="0" w:color="auto"/>
              <w:bottom w:val="single" w:sz="12" w:space="0" w:color="auto"/>
            </w:tcBorders>
            <w:shd w:val="clear" w:color="auto" w:fill="BFBFBF" w:themeFill="background1" w:themeFillShade="BF"/>
          </w:tcPr>
          <w:p w14:paraId="12E28AAA" w14:textId="77777777" w:rsidR="00F05D27" w:rsidRPr="006C65B5" w:rsidRDefault="00F05D27" w:rsidP="00080877">
            <w:pPr>
              <w:shd w:val="clear" w:color="auto" w:fill="BFBFBF" w:themeFill="background1" w:themeFillShade="BF"/>
              <w:rPr>
                <w:b/>
              </w:rPr>
            </w:pPr>
            <w:r w:rsidRPr="006C65B5">
              <w:rPr>
                <w:b/>
              </w:rPr>
              <w:t>Coördinerend</w:t>
            </w:r>
          </w:p>
        </w:tc>
        <w:tc>
          <w:tcPr>
            <w:tcW w:w="1895" w:type="dxa"/>
            <w:tcBorders>
              <w:top w:val="single" w:sz="12" w:space="0" w:color="auto"/>
              <w:bottom w:val="single" w:sz="12" w:space="0" w:color="auto"/>
              <w:right w:val="single" w:sz="12" w:space="0" w:color="auto"/>
            </w:tcBorders>
            <w:shd w:val="clear" w:color="auto" w:fill="BFBFBF" w:themeFill="background1" w:themeFillShade="BF"/>
          </w:tcPr>
          <w:p w14:paraId="12E28AAB" w14:textId="77777777" w:rsidR="00F05D27" w:rsidRPr="00792AB2" w:rsidRDefault="00F05D27" w:rsidP="00080877">
            <w:pPr>
              <w:shd w:val="clear" w:color="auto" w:fill="BFBFBF" w:themeFill="background1" w:themeFillShade="BF"/>
              <w:rPr>
                <w:b/>
              </w:rPr>
            </w:pPr>
            <w:r w:rsidRPr="00792AB2">
              <w:rPr>
                <w:b/>
              </w:rPr>
              <w:t>Normatief</w:t>
            </w:r>
          </w:p>
        </w:tc>
      </w:tr>
      <w:tr w:rsidR="00F05D27" w14:paraId="12E28AB1" w14:textId="77777777" w:rsidTr="00080877">
        <w:tc>
          <w:tcPr>
            <w:tcW w:w="1968" w:type="dxa"/>
            <w:tcBorders>
              <w:top w:val="single" w:sz="12" w:space="0" w:color="auto"/>
              <w:left w:val="single" w:sz="12" w:space="0" w:color="auto"/>
            </w:tcBorders>
            <w:shd w:val="clear" w:color="auto" w:fill="auto"/>
          </w:tcPr>
          <w:p w14:paraId="12E28AAD" w14:textId="77777777" w:rsidR="00F05D27" w:rsidRDefault="00F05D27" w:rsidP="00193F8A">
            <w:r>
              <w:t>Voedselzekerheid</w:t>
            </w:r>
          </w:p>
        </w:tc>
        <w:tc>
          <w:tcPr>
            <w:tcW w:w="1905" w:type="dxa"/>
            <w:tcBorders>
              <w:top w:val="single" w:sz="12" w:space="0" w:color="auto"/>
            </w:tcBorders>
            <w:shd w:val="clear" w:color="auto" w:fill="auto"/>
          </w:tcPr>
          <w:p w14:paraId="12E28AAE" w14:textId="77777777" w:rsidR="00F05D27" w:rsidRDefault="00F05D27" w:rsidP="00193F8A">
            <w:r>
              <w:t>2</w:t>
            </w:r>
          </w:p>
        </w:tc>
        <w:tc>
          <w:tcPr>
            <w:tcW w:w="1929" w:type="dxa"/>
            <w:tcBorders>
              <w:top w:val="single" w:sz="12" w:space="0" w:color="auto"/>
            </w:tcBorders>
            <w:shd w:val="clear" w:color="auto" w:fill="auto"/>
          </w:tcPr>
          <w:p w14:paraId="12E28AAF" w14:textId="408969B4" w:rsidR="00F05D27" w:rsidRDefault="00F05D27" w:rsidP="00193F8A"/>
        </w:tc>
        <w:tc>
          <w:tcPr>
            <w:tcW w:w="1895" w:type="dxa"/>
            <w:tcBorders>
              <w:top w:val="single" w:sz="12" w:space="0" w:color="auto"/>
              <w:right w:val="single" w:sz="12" w:space="0" w:color="auto"/>
            </w:tcBorders>
            <w:shd w:val="clear" w:color="auto" w:fill="auto"/>
          </w:tcPr>
          <w:p w14:paraId="12E28AB0" w14:textId="576D2024" w:rsidR="00F05D27" w:rsidRDefault="00F05D27" w:rsidP="00193F8A"/>
        </w:tc>
      </w:tr>
      <w:tr w:rsidR="00F05D27" w14:paraId="12E28AC5" w14:textId="77777777" w:rsidTr="00B66F9A">
        <w:tc>
          <w:tcPr>
            <w:tcW w:w="1968" w:type="dxa"/>
            <w:tcBorders>
              <w:left w:val="single" w:sz="12" w:space="0" w:color="auto"/>
            </w:tcBorders>
            <w:shd w:val="clear" w:color="auto" w:fill="auto"/>
          </w:tcPr>
          <w:p w14:paraId="12E28AC1" w14:textId="77777777" w:rsidR="00F05D27" w:rsidRDefault="00F05D27" w:rsidP="00193F8A">
            <w:r>
              <w:t>Gendergelijkheid</w:t>
            </w:r>
          </w:p>
        </w:tc>
        <w:tc>
          <w:tcPr>
            <w:tcW w:w="1905" w:type="dxa"/>
            <w:shd w:val="clear" w:color="auto" w:fill="auto"/>
          </w:tcPr>
          <w:p w14:paraId="12E28AC2" w14:textId="77777777" w:rsidR="00F05D27" w:rsidRDefault="00F05D27" w:rsidP="00193F8A">
            <w:r>
              <w:t>3</w:t>
            </w:r>
          </w:p>
        </w:tc>
        <w:tc>
          <w:tcPr>
            <w:tcW w:w="1929" w:type="dxa"/>
            <w:shd w:val="clear" w:color="auto" w:fill="auto"/>
          </w:tcPr>
          <w:p w14:paraId="12E28AC3" w14:textId="0AC4061A" w:rsidR="00F05D27" w:rsidRDefault="00F05D27" w:rsidP="00193F8A"/>
        </w:tc>
        <w:tc>
          <w:tcPr>
            <w:tcW w:w="1895" w:type="dxa"/>
            <w:tcBorders>
              <w:right w:val="single" w:sz="12" w:space="0" w:color="auto"/>
            </w:tcBorders>
            <w:shd w:val="clear" w:color="auto" w:fill="auto"/>
          </w:tcPr>
          <w:p w14:paraId="12E28AC4" w14:textId="5EBC40A9" w:rsidR="00F05D27" w:rsidRDefault="00F05D27" w:rsidP="00193F8A"/>
        </w:tc>
      </w:tr>
      <w:tr w:rsidR="00F05D27" w14:paraId="12E28ACA" w14:textId="77777777" w:rsidTr="00B66F9A">
        <w:tc>
          <w:tcPr>
            <w:tcW w:w="1968" w:type="dxa"/>
            <w:tcBorders>
              <w:left w:val="single" w:sz="12" w:space="0" w:color="auto"/>
            </w:tcBorders>
            <w:shd w:val="clear" w:color="auto" w:fill="auto"/>
          </w:tcPr>
          <w:p w14:paraId="12E28AC6" w14:textId="77777777" w:rsidR="00F05D27" w:rsidRDefault="00F05D27" w:rsidP="00193F8A">
            <w:r>
              <w:t>Klimaat</w:t>
            </w:r>
          </w:p>
        </w:tc>
        <w:tc>
          <w:tcPr>
            <w:tcW w:w="1905" w:type="dxa"/>
            <w:shd w:val="clear" w:color="auto" w:fill="auto"/>
          </w:tcPr>
          <w:p w14:paraId="12E28AC7" w14:textId="77777777" w:rsidR="00F05D27" w:rsidRDefault="00F05D27" w:rsidP="00193F8A">
            <w:r>
              <w:t>3</w:t>
            </w:r>
          </w:p>
        </w:tc>
        <w:tc>
          <w:tcPr>
            <w:tcW w:w="1929" w:type="dxa"/>
            <w:shd w:val="clear" w:color="auto" w:fill="auto"/>
          </w:tcPr>
          <w:p w14:paraId="12E28AC8" w14:textId="6DC7610C" w:rsidR="00F05D27" w:rsidRDefault="00F05D27" w:rsidP="00193F8A"/>
        </w:tc>
        <w:tc>
          <w:tcPr>
            <w:tcW w:w="1895" w:type="dxa"/>
            <w:tcBorders>
              <w:right w:val="single" w:sz="12" w:space="0" w:color="auto"/>
            </w:tcBorders>
            <w:shd w:val="clear" w:color="auto" w:fill="auto"/>
          </w:tcPr>
          <w:p w14:paraId="12E28AC9" w14:textId="2B2E9F1E" w:rsidR="00F05D27" w:rsidRDefault="00F05D27" w:rsidP="00193F8A"/>
        </w:tc>
      </w:tr>
      <w:tr w:rsidR="00F05D27" w14:paraId="12E28ACF" w14:textId="77777777" w:rsidTr="00B66F9A">
        <w:tc>
          <w:tcPr>
            <w:tcW w:w="1968" w:type="dxa"/>
            <w:tcBorders>
              <w:left w:val="single" w:sz="12" w:space="0" w:color="auto"/>
              <w:bottom w:val="single" w:sz="12" w:space="0" w:color="auto"/>
            </w:tcBorders>
            <w:shd w:val="clear" w:color="auto" w:fill="auto"/>
          </w:tcPr>
          <w:p w14:paraId="12E28ACB" w14:textId="7ABAB1AC" w:rsidR="00F05D27" w:rsidRDefault="00F05D27" w:rsidP="00EA6A31">
            <w:r>
              <w:t xml:space="preserve">Private sector </w:t>
            </w:r>
            <w:r w:rsidR="00EA6A31">
              <w:t>ontwikkeling</w:t>
            </w:r>
          </w:p>
        </w:tc>
        <w:tc>
          <w:tcPr>
            <w:tcW w:w="1905" w:type="dxa"/>
            <w:tcBorders>
              <w:bottom w:val="single" w:sz="12" w:space="0" w:color="auto"/>
            </w:tcBorders>
            <w:shd w:val="clear" w:color="auto" w:fill="auto"/>
          </w:tcPr>
          <w:p w14:paraId="12E28ACC" w14:textId="77777777" w:rsidR="00F05D27" w:rsidRDefault="00692272" w:rsidP="00193F8A">
            <w:r>
              <w:t>4</w:t>
            </w:r>
          </w:p>
        </w:tc>
        <w:tc>
          <w:tcPr>
            <w:tcW w:w="1929" w:type="dxa"/>
            <w:tcBorders>
              <w:bottom w:val="single" w:sz="12" w:space="0" w:color="auto"/>
            </w:tcBorders>
            <w:shd w:val="clear" w:color="auto" w:fill="auto"/>
          </w:tcPr>
          <w:p w14:paraId="12E28ACD" w14:textId="367D7D0E" w:rsidR="00F05D27" w:rsidRDefault="00F05D27" w:rsidP="00193F8A"/>
        </w:tc>
        <w:tc>
          <w:tcPr>
            <w:tcW w:w="1895" w:type="dxa"/>
            <w:tcBorders>
              <w:bottom w:val="single" w:sz="12" w:space="0" w:color="auto"/>
              <w:right w:val="single" w:sz="12" w:space="0" w:color="auto"/>
            </w:tcBorders>
            <w:shd w:val="clear" w:color="auto" w:fill="auto"/>
          </w:tcPr>
          <w:p w14:paraId="12E28ACE" w14:textId="15A5043C" w:rsidR="00F05D27" w:rsidRDefault="00F05D27" w:rsidP="00193F8A"/>
        </w:tc>
      </w:tr>
    </w:tbl>
    <w:p w14:paraId="6AD73853" w14:textId="77777777" w:rsidR="003F17A2" w:rsidRDefault="003F17A2" w:rsidP="00C61586">
      <w:pPr>
        <w:pStyle w:val="Heading2"/>
        <w:tabs>
          <w:tab w:val="left" w:pos="-1162"/>
          <w:tab w:val="left" w:pos="0"/>
          <w:tab w:val="num" w:pos="1160"/>
          <w:tab w:val="left" w:pos="5805"/>
        </w:tabs>
        <w:spacing w:line="240" w:lineRule="atLeast"/>
        <w:ind w:hanging="1162"/>
      </w:pPr>
      <w:bookmarkStart w:id="64" w:name="_Toc410140912"/>
      <w:bookmarkStart w:id="65" w:name="_Toc473812734"/>
    </w:p>
    <w:p w14:paraId="05292835" w14:textId="6957DD71" w:rsidR="000B1C5C" w:rsidRDefault="00B3437D" w:rsidP="00C61586">
      <w:pPr>
        <w:pStyle w:val="Heading2"/>
        <w:tabs>
          <w:tab w:val="left" w:pos="-1162"/>
          <w:tab w:val="left" w:pos="0"/>
          <w:tab w:val="num" w:pos="1160"/>
          <w:tab w:val="left" w:pos="5805"/>
        </w:tabs>
        <w:spacing w:line="240" w:lineRule="atLeast"/>
        <w:ind w:hanging="1162"/>
      </w:pPr>
      <w:bookmarkStart w:id="66" w:name="_Toc491437696"/>
      <w:r>
        <w:t>5</w:t>
      </w:r>
      <w:r w:rsidR="00F05D27">
        <w:t>.2</w:t>
      </w:r>
      <w:r w:rsidR="00F05D27">
        <w:tab/>
      </w:r>
      <w:bookmarkEnd w:id="64"/>
      <w:bookmarkEnd w:id="65"/>
      <w:r w:rsidR="000B1C5C">
        <w:t>Overige relevantie</w:t>
      </w:r>
      <w:bookmarkEnd w:id="66"/>
      <w:r w:rsidR="00C61586">
        <w:tab/>
      </w:r>
    </w:p>
    <w:p w14:paraId="12E28AE1" w14:textId="3508BFD1" w:rsidR="00F05D27" w:rsidRPr="00C756E1" w:rsidRDefault="00F05D27" w:rsidP="00C756E1">
      <w:pPr>
        <w:rPr>
          <w:b/>
          <w:u w:val="single"/>
        </w:rPr>
      </w:pPr>
      <w:bookmarkStart w:id="67" w:name="_Toc483844350"/>
      <w:r w:rsidRPr="00C756E1">
        <w:rPr>
          <w:u w:val="single"/>
        </w:rPr>
        <w:t>IDB en de Caribische landen van het Koninkrijk</w:t>
      </w:r>
      <w:bookmarkEnd w:id="67"/>
    </w:p>
    <w:p w14:paraId="12E28AE2" w14:textId="1E723E18" w:rsidR="00F05D27" w:rsidRDefault="00F05D27" w:rsidP="00193F8A">
      <w:r>
        <w:t xml:space="preserve">De Caribische landen van het Koninkrijk – Aruba, </w:t>
      </w:r>
      <w:r w:rsidR="00C75A9A">
        <w:t>Curaçao</w:t>
      </w:r>
      <w:r>
        <w:t xml:space="preserve"> en St. Maarten – hebben aangegeven graag de (</w:t>
      </w:r>
      <w:r w:rsidR="00A32278">
        <w:t>potentiële</w:t>
      </w:r>
      <w:r>
        <w:t xml:space="preserve">) voordelen voor deze drie landen van een IIC-lidmaatschap te willen inventariseren. </w:t>
      </w:r>
    </w:p>
    <w:p w14:paraId="12E28AE3" w14:textId="77777777" w:rsidR="00F05D27" w:rsidRDefault="00F05D27" w:rsidP="00193F8A"/>
    <w:p w14:paraId="12E28AE4" w14:textId="25F4AF80" w:rsidR="00F05D27" w:rsidRDefault="00F05D27" w:rsidP="00193F8A">
      <w:pPr>
        <w:rPr>
          <w:i/>
        </w:rPr>
      </w:pPr>
      <w:r>
        <w:t xml:space="preserve">Momenteel wordt het Koninkrijk door de IDBG beschouwd als één niet-lenend land. Het verstrekken van leningen aan </w:t>
      </w:r>
      <w:r w:rsidR="00FA2640">
        <w:t xml:space="preserve">(bedrijven in) </w:t>
      </w:r>
      <w:r>
        <w:t xml:space="preserve">Aruba, </w:t>
      </w:r>
      <w:r w:rsidR="00C75A9A">
        <w:t xml:space="preserve">Curaçao </w:t>
      </w:r>
      <w:r>
        <w:t>en/of St. Maarten is daarom vooralsnog niet aan de orde. Veeleer moet gedacht worden aan vormen van technische samenwerking en mogeli</w:t>
      </w:r>
      <w:r w:rsidR="00CC5BDA">
        <w:t xml:space="preserve">jkheden voor het bedrijfsleven, </w:t>
      </w:r>
      <w:r>
        <w:t xml:space="preserve">onder meer via </w:t>
      </w:r>
      <w:r>
        <w:rPr>
          <w:i/>
        </w:rPr>
        <w:t>procurement).</w:t>
      </w:r>
    </w:p>
    <w:p w14:paraId="12E28AE5" w14:textId="77777777" w:rsidR="00F05D27" w:rsidRDefault="00F05D27" w:rsidP="00193F8A">
      <w:pPr>
        <w:rPr>
          <w:i/>
        </w:rPr>
      </w:pPr>
    </w:p>
    <w:p w14:paraId="12E28AE6" w14:textId="77777777" w:rsidR="00F05D27" w:rsidRPr="00966750" w:rsidRDefault="00F05D27" w:rsidP="00193F8A">
      <w:r>
        <w:t xml:space="preserve">De Caribische landen hebben de nodige </w:t>
      </w:r>
      <w:r>
        <w:rPr>
          <w:i/>
        </w:rPr>
        <w:t>know how</w:t>
      </w:r>
      <w:r>
        <w:t xml:space="preserve"> te bieden, onder meer op gebieden als (duurzame) energie, financiële dienstverlening en toerisme. De IDB heeft expertise in huis die wellicht nuttig kan zijn voor het opstellen van ontwikkelingsplannen, het opzetten van een eigen ontwikkelings</w:t>
      </w:r>
      <w:r w:rsidR="009D1723">
        <w:t>bank</w:t>
      </w:r>
      <w:r>
        <w:t xml:space="preserve"> en/of maatregelen gericht op economische diversificatie en regionale integratie.</w:t>
      </w:r>
    </w:p>
    <w:p w14:paraId="12E28AE7" w14:textId="309ACB6C" w:rsidR="00F05D27" w:rsidRDefault="00F05D27" w:rsidP="00193F8A"/>
    <w:p w14:paraId="3D7ACE25" w14:textId="28AC761F" w:rsidR="000B1C5C" w:rsidRDefault="00CF71E1" w:rsidP="00193F8A">
      <w:pPr>
        <w:rPr>
          <w:u w:val="single"/>
        </w:rPr>
      </w:pPr>
      <w:r>
        <w:rPr>
          <w:u w:val="single"/>
        </w:rPr>
        <w:t>Regionale samenwerking en e</w:t>
      </w:r>
      <w:r w:rsidR="000B1C5C">
        <w:rPr>
          <w:u w:val="single"/>
        </w:rPr>
        <w:t>conomische integratie</w:t>
      </w:r>
    </w:p>
    <w:p w14:paraId="4F55FCF0" w14:textId="2C50DE6C" w:rsidR="000B1C5C" w:rsidRDefault="00624ECC" w:rsidP="00193F8A">
      <w:r>
        <w:t xml:space="preserve">Het verbeteren van de regionale economische integratie is een van de dwarsdoorsnijdende thema’s in de strategie van de Bank en wordt ingevuld door bijdragen aan de regionale infrastructuur, ondersteuning aan bedrijven ten behoeve van de toetreding tot </w:t>
      </w:r>
      <w:r w:rsidR="00E50BF8">
        <w:t>de waardeketen</w:t>
      </w:r>
      <w:r>
        <w:t xml:space="preserve">, </w:t>
      </w:r>
      <w:r w:rsidR="00E50BF8">
        <w:t>verder</w:t>
      </w:r>
      <w:r>
        <w:t xml:space="preserve"> benutte</w:t>
      </w:r>
      <w:r w:rsidR="00E50BF8">
        <w:t xml:space="preserve">n van de Zuid-Zuid samenwerking. </w:t>
      </w:r>
      <w:r w:rsidR="00E529B1">
        <w:t xml:space="preserve">De Bank geeft niet alleen door uitvoerende projecten invulling </w:t>
      </w:r>
      <w:r w:rsidR="000B710B">
        <w:t>aan deze prioriteit maar vervult</w:t>
      </w:r>
      <w:r w:rsidR="00E529B1">
        <w:t xml:space="preserve"> via haar rol als kennisinstitutie ook een normatieve taak.</w:t>
      </w:r>
    </w:p>
    <w:p w14:paraId="254FF718" w14:textId="4036741F" w:rsidR="00E50BF8" w:rsidRDefault="00E50BF8" w:rsidP="00193F8A"/>
    <w:p w14:paraId="04119D09" w14:textId="02855D02" w:rsidR="00E50BF8" w:rsidRDefault="00E50BF8" w:rsidP="00193F8A">
      <w:r>
        <w:t xml:space="preserve">In de periode 2012-2015 heeft de Bank de volgende resultaten behaald op het gebied van economische integratie: ze heeft training gegeven aan 80.000 publieke </w:t>
      </w:r>
      <w:r>
        <w:rPr>
          <w:i/>
        </w:rPr>
        <w:t>trade officials</w:t>
      </w:r>
      <w:r>
        <w:t xml:space="preserve"> en private ondernemers over handel en investeringen, 47 regionale en sub-regionale handels- en samenwerkingsakkoorden ondersteund en 4800 internationale handelstransacties gefinancierd. In alle resultaatgebieden zijn de doelstellingen ruimschoots behaald. </w:t>
      </w:r>
      <w:bookmarkEnd w:id="57"/>
      <w:bookmarkEnd w:id="58"/>
    </w:p>
    <w:p w14:paraId="16AC4A50" w14:textId="30E017DF" w:rsidR="00310AAC" w:rsidRDefault="00310AAC" w:rsidP="00193F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921"/>
        <w:gridCol w:w="1939"/>
        <w:gridCol w:w="1913"/>
      </w:tblGrid>
      <w:tr w:rsidR="00F14912" w14:paraId="4A588598" w14:textId="77777777" w:rsidTr="00F64FC4">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6037738B" w14:textId="7CF75FCA" w:rsidR="00F14912" w:rsidRPr="00B06CE6" w:rsidRDefault="00F14912" w:rsidP="00F14912">
            <w:pPr>
              <w:rPr>
                <w:b/>
              </w:rPr>
            </w:pPr>
            <w:r>
              <w:rPr>
                <w:b/>
              </w:rPr>
              <w:t>Overige relevantie</w:t>
            </w:r>
          </w:p>
        </w:tc>
      </w:tr>
      <w:tr w:rsidR="00310AAC" w14:paraId="4C2588D6" w14:textId="77777777" w:rsidTr="00F14912">
        <w:tc>
          <w:tcPr>
            <w:tcW w:w="1924" w:type="dxa"/>
            <w:tcBorders>
              <w:top w:val="single" w:sz="12" w:space="0" w:color="auto"/>
              <w:left w:val="single" w:sz="12" w:space="0" w:color="auto"/>
              <w:bottom w:val="single" w:sz="12" w:space="0" w:color="auto"/>
            </w:tcBorders>
            <w:shd w:val="clear" w:color="auto" w:fill="BFBFBF" w:themeFill="background1" w:themeFillShade="BF"/>
          </w:tcPr>
          <w:p w14:paraId="314CAA8A" w14:textId="77777777" w:rsidR="00310AAC" w:rsidRPr="00B06CE6" w:rsidRDefault="00310AAC" w:rsidP="00914A7A">
            <w:pPr>
              <w:rPr>
                <w:i/>
              </w:rPr>
            </w:pPr>
          </w:p>
        </w:tc>
        <w:tc>
          <w:tcPr>
            <w:tcW w:w="1921" w:type="dxa"/>
            <w:tcBorders>
              <w:top w:val="single" w:sz="12" w:space="0" w:color="auto"/>
              <w:bottom w:val="single" w:sz="12" w:space="0" w:color="auto"/>
            </w:tcBorders>
            <w:shd w:val="clear" w:color="auto" w:fill="BFBFBF" w:themeFill="background1" w:themeFillShade="BF"/>
          </w:tcPr>
          <w:p w14:paraId="65373391" w14:textId="77777777" w:rsidR="00310AAC" w:rsidRPr="00B06CE6" w:rsidRDefault="00310AAC" w:rsidP="00914A7A">
            <w:pPr>
              <w:rPr>
                <w:b/>
              </w:rPr>
            </w:pPr>
            <w:r w:rsidRPr="00B06CE6">
              <w:rPr>
                <w:b/>
              </w:rPr>
              <w:t>Uitvoerend</w:t>
            </w:r>
          </w:p>
        </w:tc>
        <w:tc>
          <w:tcPr>
            <w:tcW w:w="1939" w:type="dxa"/>
            <w:tcBorders>
              <w:top w:val="single" w:sz="12" w:space="0" w:color="auto"/>
              <w:bottom w:val="single" w:sz="12" w:space="0" w:color="auto"/>
            </w:tcBorders>
            <w:shd w:val="clear" w:color="auto" w:fill="BFBFBF" w:themeFill="background1" w:themeFillShade="BF"/>
          </w:tcPr>
          <w:p w14:paraId="11C22DCD" w14:textId="77777777" w:rsidR="00310AAC" w:rsidRPr="00B06CE6" w:rsidRDefault="00310AAC" w:rsidP="00914A7A">
            <w:pPr>
              <w:rPr>
                <w:b/>
              </w:rPr>
            </w:pPr>
            <w:r w:rsidRPr="00B06CE6">
              <w:rPr>
                <w:b/>
              </w:rPr>
              <w:t>Coördinerend</w:t>
            </w:r>
          </w:p>
        </w:tc>
        <w:tc>
          <w:tcPr>
            <w:tcW w:w="1913" w:type="dxa"/>
            <w:tcBorders>
              <w:top w:val="single" w:sz="12" w:space="0" w:color="auto"/>
              <w:bottom w:val="single" w:sz="12" w:space="0" w:color="auto"/>
              <w:right w:val="single" w:sz="12" w:space="0" w:color="auto"/>
            </w:tcBorders>
            <w:shd w:val="clear" w:color="auto" w:fill="BFBFBF" w:themeFill="background1" w:themeFillShade="BF"/>
          </w:tcPr>
          <w:p w14:paraId="6163C911" w14:textId="77777777" w:rsidR="00310AAC" w:rsidRPr="00B06CE6" w:rsidRDefault="00310AAC" w:rsidP="00914A7A">
            <w:pPr>
              <w:rPr>
                <w:b/>
              </w:rPr>
            </w:pPr>
            <w:r w:rsidRPr="00B06CE6">
              <w:rPr>
                <w:b/>
              </w:rPr>
              <w:t>Normatief</w:t>
            </w:r>
          </w:p>
        </w:tc>
      </w:tr>
      <w:tr w:rsidR="00310AAC" w14:paraId="264AFC79" w14:textId="77777777" w:rsidTr="00F14912">
        <w:tc>
          <w:tcPr>
            <w:tcW w:w="1924" w:type="dxa"/>
            <w:tcBorders>
              <w:top w:val="single" w:sz="12" w:space="0" w:color="auto"/>
              <w:left w:val="single" w:sz="12" w:space="0" w:color="auto"/>
              <w:bottom w:val="single" w:sz="12" w:space="0" w:color="auto"/>
            </w:tcBorders>
            <w:shd w:val="clear" w:color="auto" w:fill="auto"/>
          </w:tcPr>
          <w:p w14:paraId="56FF56A7" w14:textId="6F844234" w:rsidR="00310AAC" w:rsidRDefault="007F091B" w:rsidP="00310AAC">
            <w:r>
              <w:t>Regionale samenwerking en e</w:t>
            </w:r>
            <w:r w:rsidR="00310AAC">
              <w:t>conomische integratie</w:t>
            </w:r>
          </w:p>
        </w:tc>
        <w:tc>
          <w:tcPr>
            <w:tcW w:w="1921" w:type="dxa"/>
            <w:tcBorders>
              <w:top w:val="single" w:sz="12" w:space="0" w:color="auto"/>
              <w:bottom w:val="single" w:sz="12" w:space="0" w:color="auto"/>
            </w:tcBorders>
            <w:shd w:val="clear" w:color="auto" w:fill="auto"/>
          </w:tcPr>
          <w:p w14:paraId="1CAC2780" w14:textId="3A315D09" w:rsidR="00310AAC" w:rsidRDefault="00310AAC" w:rsidP="00310AAC">
            <w:r>
              <w:t>4</w:t>
            </w:r>
          </w:p>
        </w:tc>
        <w:tc>
          <w:tcPr>
            <w:tcW w:w="1939" w:type="dxa"/>
            <w:tcBorders>
              <w:top w:val="single" w:sz="12" w:space="0" w:color="auto"/>
              <w:bottom w:val="single" w:sz="12" w:space="0" w:color="auto"/>
            </w:tcBorders>
            <w:shd w:val="clear" w:color="auto" w:fill="auto"/>
          </w:tcPr>
          <w:p w14:paraId="13742362" w14:textId="77777777" w:rsidR="00310AAC" w:rsidRDefault="00310AAC" w:rsidP="00310AAC"/>
        </w:tc>
        <w:tc>
          <w:tcPr>
            <w:tcW w:w="1913" w:type="dxa"/>
            <w:tcBorders>
              <w:top w:val="single" w:sz="12" w:space="0" w:color="auto"/>
              <w:bottom w:val="single" w:sz="12" w:space="0" w:color="auto"/>
              <w:right w:val="single" w:sz="12" w:space="0" w:color="auto"/>
            </w:tcBorders>
            <w:shd w:val="clear" w:color="auto" w:fill="auto"/>
          </w:tcPr>
          <w:p w14:paraId="697E1DD2" w14:textId="10BAC9E6" w:rsidR="00310AAC" w:rsidRDefault="00310AAC" w:rsidP="00310AAC">
            <w:r>
              <w:t>3</w:t>
            </w:r>
          </w:p>
        </w:tc>
      </w:tr>
    </w:tbl>
    <w:p w14:paraId="4B38EF38" w14:textId="77777777" w:rsidR="00310AAC" w:rsidRPr="00E50BF8" w:rsidRDefault="00310AAC" w:rsidP="00193F8A"/>
    <w:sectPr w:rsidR="00310AAC" w:rsidRPr="00E50BF8" w:rsidSect="00EE1B9E">
      <w:footerReference w:type="default" r:id="rId19"/>
      <w:endnotePr>
        <w:numFmt w:val="decimal"/>
      </w:endnotePr>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F50C4" w14:textId="77777777" w:rsidR="00D321FA" w:rsidRDefault="00D321FA">
      <w:r>
        <w:separator/>
      </w:r>
    </w:p>
    <w:p w14:paraId="15FA3E41" w14:textId="77777777" w:rsidR="00D321FA" w:rsidRDefault="00D321FA"/>
    <w:p w14:paraId="3C330F4B" w14:textId="77777777" w:rsidR="00D321FA" w:rsidRDefault="00D321FA"/>
  </w:endnote>
  <w:endnote w:type="continuationSeparator" w:id="0">
    <w:p w14:paraId="2A45239E" w14:textId="77777777" w:rsidR="00D321FA" w:rsidRDefault="00D321FA">
      <w:r>
        <w:continuationSeparator/>
      </w:r>
    </w:p>
    <w:p w14:paraId="3974388B" w14:textId="77777777" w:rsidR="00D321FA" w:rsidRDefault="00D321FA"/>
    <w:p w14:paraId="3AAA05A9" w14:textId="77777777" w:rsidR="00D321FA" w:rsidRDefault="00D321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roman"/>
    <w:notTrueType/>
    <w:pitch w:val="default"/>
  </w:font>
  <w:font w:name="Segoe UI Emoji">
    <w:panose1 w:val="020B0502040204020203"/>
    <w:charset w:val="00"/>
    <w:family w:val="swiss"/>
    <w:pitch w:val="variable"/>
    <w:sig w:usb0="00000003" w:usb1="02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D321FA" w:rsidRPr="00785F18" w14:paraId="12E28B8C" w14:textId="77777777" w:rsidTr="003B518B">
      <w:trPr>
        <w:trHeight w:hRule="exact" w:val="240"/>
      </w:trPr>
      <w:tc>
        <w:tcPr>
          <w:tcW w:w="7752" w:type="dxa"/>
          <w:gridSpan w:val="3"/>
          <w:shd w:val="clear" w:color="auto" w:fill="auto"/>
        </w:tcPr>
        <w:p w14:paraId="12E28B8B" w14:textId="77777777" w:rsidR="00D321FA" w:rsidRPr="00785F18" w:rsidRDefault="00D321FA">
          <w:pPr>
            <w:spacing w:line="240" w:lineRule="auto"/>
          </w:pPr>
        </w:p>
      </w:tc>
    </w:tr>
    <w:tr w:rsidR="00D321FA" w:rsidRPr="00785F18" w14:paraId="12E28B8F" w14:textId="77777777" w:rsidTr="003B518B">
      <w:trPr>
        <w:gridAfter w:val="1"/>
        <w:wAfter w:w="99" w:type="dxa"/>
        <w:trHeight w:hRule="exact" w:val="240"/>
      </w:trPr>
      <w:tc>
        <w:tcPr>
          <w:tcW w:w="6260" w:type="dxa"/>
          <w:shd w:val="clear" w:color="auto" w:fill="auto"/>
        </w:tcPr>
        <w:p w14:paraId="12E28B8D" w14:textId="2B32543D" w:rsidR="00D321FA" w:rsidRPr="00785F18" w:rsidRDefault="005F4333" w:rsidP="003B518B">
          <w:pPr>
            <w:pStyle w:val="Huisstijl-Paginanummering"/>
            <w:rPr>
              <w:rStyle w:val="Huisstijl-Rubricering"/>
            </w:rPr>
          </w:pPr>
          <w:r>
            <w:fldChar w:fldCharType="begin"/>
          </w:r>
          <w:r>
            <w:instrText xml:space="preserve"> DOCPROPERTY  L_PAGE  \* MERGEFORMAT </w:instrText>
          </w:r>
          <w:r>
            <w:fldChar w:fldCharType="separate"/>
          </w:r>
          <w:r w:rsidR="00D321FA">
            <w:t>Pagina</w:t>
          </w:r>
          <w:r>
            <w:fldChar w:fldCharType="end"/>
          </w:r>
          <w:r w:rsidR="00D321FA" w:rsidRPr="00785F18">
            <w:t xml:space="preserve"> </w:t>
          </w:r>
          <w:r w:rsidR="00D321FA">
            <w:fldChar w:fldCharType="begin"/>
          </w:r>
          <w:r w:rsidR="00D321FA">
            <w:instrText xml:space="preserve"> PAGE   \* MERGEFORMAT </w:instrText>
          </w:r>
          <w:r w:rsidR="00D321FA">
            <w:fldChar w:fldCharType="separate"/>
          </w:r>
          <w:r w:rsidR="00D321FA">
            <w:t>22</w:t>
          </w:r>
          <w:r w:rsidR="00D321FA">
            <w:fldChar w:fldCharType="end"/>
          </w:r>
          <w:r w:rsidR="00D321FA" w:rsidRPr="00785F18">
            <w:t xml:space="preserve"> </w:t>
          </w:r>
          <w:r>
            <w:fldChar w:fldCharType="begin"/>
          </w:r>
          <w:r>
            <w:instrText xml:space="preserve"> DOCPROPERTY  L_PAGEOF  \* MERGEFORMAT </w:instrText>
          </w:r>
          <w:r>
            <w:fldChar w:fldCharType="separate"/>
          </w:r>
          <w:r w:rsidR="00D321FA">
            <w:t>van</w:t>
          </w:r>
          <w:r>
            <w:fldChar w:fldCharType="end"/>
          </w:r>
          <w:r w:rsidR="00D321FA" w:rsidRPr="00785F18">
            <w:t xml:space="preserve"> </w:t>
          </w:r>
          <w:r>
            <w:fldChar w:fldCharType="begin"/>
          </w:r>
          <w:r>
            <w:instrText xml:space="preserve"> NUMPAGES   \* MERGEFORMAT </w:instrText>
          </w:r>
          <w:r>
            <w:fldChar w:fldCharType="separate"/>
          </w:r>
          <w:r w:rsidR="00D321FA">
            <w:t>22</w:t>
          </w:r>
          <w:r>
            <w:fldChar w:fldCharType="end"/>
          </w:r>
        </w:p>
      </w:tc>
      <w:tc>
        <w:tcPr>
          <w:tcW w:w="1392" w:type="dxa"/>
        </w:tcPr>
        <w:p w14:paraId="12E28B8E" w14:textId="77777777" w:rsidR="00D321FA" w:rsidRPr="00785F18" w:rsidRDefault="00D321FA" w:rsidP="003B518B">
          <w:pPr>
            <w:pStyle w:val="Huisstijl-Paginanummering"/>
            <w:jc w:val="right"/>
          </w:pPr>
        </w:p>
      </w:tc>
    </w:tr>
  </w:tbl>
  <w:p w14:paraId="12E28B90" w14:textId="77777777" w:rsidR="00D321FA" w:rsidRPr="00785F18" w:rsidRDefault="00D321FA" w:rsidP="003B518B">
    <w:pP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gridCol w:w="1392"/>
    </w:tblGrid>
    <w:tr w:rsidR="00D321FA" w:rsidRPr="006429ED" w14:paraId="12E28B93" w14:textId="77777777" w:rsidTr="003B518B">
      <w:trPr>
        <w:trHeight w:hRule="exact" w:val="240"/>
      </w:trPr>
      <w:tc>
        <w:tcPr>
          <w:tcW w:w="6260" w:type="dxa"/>
          <w:shd w:val="clear" w:color="auto" w:fill="auto"/>
        </w:tcPr>
        <w:p w14:paraId="12E28B91" w14:textId="77777777" w:rsidR="00D321FA" w:rsidRPr="00785F18" w:rsidRDefault="00D321FA" w:rsidP="003B518B">
          <w:pPr>
            <w:rPr>
              <w:rStyle w:val="Huisstijl-Rubricering"/>
            </w:rPr>
          </w:pPr>
        </w:p>
      </w:tc>
      <w:tc>
        <w:tcPr>
          <w:tcW w:w="1392" w:type="dxa"/>
        </w:tcPr>
        <w:p w14:paraId="12E28B92" w14:textId="4EFF19D6" w:rsidR="00D321FA" w:rsidRPr="006429ED" w:rsidRDefault="005F4333" w:rsidP="003B518B">
          <w:pPr>
            <w:pStyle w:val="Huisstijl-Paginanummering"/>
            <w:jc w:val="right"/>
            <w:rPr>
              <w:sz w:val="16"/>
              <w:szCs w:val="16"/>
            </w:rPr>
          </w:pPr>
          <w:r w:rsidRPr="006429ED">
            <w:rPr>
              <w:sz w:val="16"/>
              <w:szCs w:val="16"/>
            </w:rPr>
            <w:fldChar w:fldCharType="begin"/>
          </w:r>
          <w:r w:rsidRPr="006429ED">
            <w:rPr>
              <w:sz w:val="16"/>
              <w:szCs w:val="16"/>
            </w:rPr>
            <w:instrText xml:space="preserve"> DOCPROPERTY  L_PAGE  \* MERGEFORMAT </w:instrText>
          </w:r>
          <w:r w:rsidRPr="006429ED">
            <w:rPr>
              <w:sz w:val="16"/>
              <w:szCs w:val="16"/>
            </w:rPr>
            <w:fldChar w:fldCharType="separate"/>
          </w:r>
          <w:r w:rsidR="00D321FA" w:rsidRPr="006429ED">
            <w:rPr>
              <w:sz w:val="16"/>
              <w:szCs w:val="16"/>
            </w:rPr>
            <w:t>Pagina</w:t>
          </w:r>
          <w:r w:rsidRPr="006429ED">
            <w:rPr>
              <w:sz w:val="16"/>
              <w:szCs w:val="16"/>
            </w:rPr>
            <w:fldChar w:fldCharType="end"/>
          </w:r>
          <w:r w:rsidR="00D321FA" w:rsidRPr="006429ED">
            <w:rPr>
              <w:sz w:val="16"/>
              <w:szCs w:val="16"/>
            </w:rPr>
            <w:t xml:space="preserve"> </w:t>
          </w:r>
          <w:r w:rsidR="00D321FA" w:rsidRPr="006429ED">
            <w:rPr>
              <w:rStyle w:val="PageNumber"/>
              <w:noProof w:val="0"/>
              <w:sz w:val="16"/>
              <w:szCs w:val="16"/>
            </w:rPr>
            <w:fldChar w:fldCharType="begin"/>
          </w:r>
          <w:r w:rsidR="00D321FA" w:rsidRPr="006429ED">
            <w:rPr>
              <w:rStyle w:val="PageNumber"/>
              <w:noProof w:val="0"/>
              <w:sz w:val="16"/>
              <w:szCs w:val="16"/>
            </w:rPr>
            <w:instrText xml:space="preserve"> PAGE </w:instrText>
          </w:r>
          <w:r w:rsidR="00D321FA" w:rsidRPr="006429ED">
            <w:rPr>
              <w:rStyle w:val="PageNumber"/>
              <w:noProof w:val="0"/>
              <w:sz w:val="16"/>
              <w:szCs w:val="16"/>
            </w:rPr>
            <w:fldChar w:fldCharType="separate"/>
          </w:r>
          <w:r>
            <w:rPr>
              <w:rStyle w:val="PageNumber"/>
              <w:sz w:val="16"/>
              <w:szCs w:val="16"/>
            </w:rPr>
            <w:t>2</w:t>
          </w:r>
          <w:r w:rsidR="00D321FA" w:rsidRPr="006429ED">
            <w:rPr>
              <w:rStyle w:val="PageNumber"/>
              <w:noProof w:val="0"/>
              <w:sz w:val="16"/>
              <w:szCs w:val="16"/>
            </w:rPr>
            <w:fldChar w:fldCharType="end"/>
          </w:r>
          <w:r w:rsidR="00D321FA" w:rsidRPr="006429ED">
            <w:rPr>
              <w:sz w:val="16"/>
              <w:szCs w:val="16"/>
            </w:rPr>
            <w:t xml:space="preserve"> </w:t>
          </w:r>
          <w:r w:rsidRPr="006429ED">
            <w:rPr>
              <w:sz w:val="16"/>
              <w:szCs w:val="16"/>
            </w:rPr>
            <w:fldChar w:fldCharType="begin"/>
          </w:r>
          <w:r w:rsidRPr="006429ED">
            <w:rPr>
              <w:sz w:val="16"/>
              <w:szCs w:val="16"/>
            </w:rPr>
            <w:instrText xml:space="preserve"> DOCPROPERTY  L_PAGEOF  \* MERGEFORMAT </w:instrText>
          </w:r>
          <w:r w:rsidRPr="006429ED">
            <w:rPr>
              <w:sz w:val="16"/>
              <w:szCs w:val="16"/>
            </w:rPr>
            <w:fldChar w:fldCharType="separate"/>
          </w:r>
          <w:r w:rsidR="00D321FA" w:rsidRPr="006429ED">
            <w:rPr>
              <w:sz w:val="16"/>
              <w:szCs w:val="16"/>
            </w:rPr>
            <w:t>van</w:t>
          </w:r>
          <w:r w:rsidRPr="006429ED">
            <w:rPr>
              <w:sz w:val="16"/>
              <w:szCs w:val="16"/>
            </w:rPr>
            <w:fldChar w:fldCharType="end"/>
          </w:r>
          <w:r w:rsidR="00D321FA" w:rsidRPr="006429ED">
            <w:rPr>
              <w:sz w:val="16"/>
              <w:szCs w:val="16"/>
            </w:rPr>
            <w:t xml:space="preserve"> </w:t>
          </w:r>
          <w:r w:rsidRPr="006429ED">
            <w:rPr>
              <w:sz w:val="16"/>
              <w:szCs w:val="16"/>
            </w:rPr>
            <w:fldChar w:fldCharType="begin"/>
          </w:r>
          <w:r w:rsidRPr="006429ED">
            <w:rPr>
              <w:sz w:val="16"/>
              <w:szCs w:val="16"/>
            </w:rPr>
            <w:instrText xml:space="preserve"> NUMPAGES   \* MERGEFORMAT </w:instrText>
          </w:r>
          <w:r w:rsidRPr="006429ED">
            <w:rPr>
              <w:sz w:val="16"/>
              <w:szCs w:val="16"/>
            </w:rPr>
            <w:fldChar w:fldCharType="separate"/>
          </w:r>
          <w:r>
            <w:rPr>
              <w:sz w:val="16"/>
              <w:szCs w:val="16"/>
            </w:rPr>
            <w:t>20</w:t>
          </w:r>
          <w:r w:rsidRPr="006429ED">
            <w:rPr>
              <w:sz w:val="16"/>
              <w:szCs w:val="16"/>
            </w:rPr>
            <w:fldChar w:fldCharType="end"/>
          </w:r>
        </w:p>
      </w:tc>
    </w:tr>
  </w:tbl>
  <w:p w14:paraId="12E28B94" w14:textId="77777777" w:rsidR="00D321FA" w:rsidRPr="00785F18" w:rsidRDefault="00D321FA" w:rsidP="003B518B">
    <w:pPr>
      <w:spacing w:line="240" w:lineRule="auto"/>
      <w:rPr>
        <w:sz w:val="2"/>
        <w:szCs w:val="2"/>
      </w:rPr>
    </w:pPr>
  </w:p>
  <w:p w14:paraId="12E28B95" w14:textId="77777777" w:rsidR="00D321FA" w:rsidRPr="00785F18" w:rsidRDefault="00D321FA" w:rsidP="003B518B">
    <w:pP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gridCol w:w="1392"/>
    </w:tblGrid>
    <w:tr w:rsidR="00D321FA" w:rsidRPr="00785F18" w14:paraId="12E28BA8" w14:textId="77777777" w:rsidTr="00B06D4B">
      <w:trPr>
        <w:trHeight w:hRule="exact" w:val="240"/>
      </w:trPr>
      <w:tc>
        <w:tcPr>
          <w:tcW w:w="6260" w:type="dxa"/>
          <w:shd w:val="clear" w:color="auto" w:fill="auto"/>
        </w:tcPr>
        <w:p w14:paraId="12E28BA6" w14:textId="77777777" w:rsidR="00D321FA" w:rsidRPr="00785F18" w:rsidRDefault="00D321FA" w:rsidP="00B06D4B">
          <w:pPr>
            <w:rPr>
              <w:rStyle w:val="Huisstijl-Rubricering"/>
            </w:rPr>
          </w:pPr>
        </w:p>
      </w:tc>
      <w:tc>
        <w:tcPr>
          <w:tcW w:w="1392" w:type="dxa"/>
        </w:tcPr>
        <w:p w14:paraId="12E28BA7" w14:textId="21DDF33B" w:rsidR="00D321FA" w:rsidRPr="00785F18" w:rsidRDefault="00D321FA" w:rsidP="00B06D4B">
          <w:pPr>
            <w:pStyle w:val="Huisstijl-Paginanummering"/>
            <w:jc w:val="right"/>
          </w:pPr>
        </w:p>
      </w:tc>
    </w:tr>
  </w:tbl>
  <w:p w14:paraId="12E28BA9" w14:textId="77777777" w:rsidR="00D321FA" w:rsidRPr="00785F18" w:rsidRDefault="00D321FA" w:rsidP="00101F98">
    <w:pPr>
      <w:spacing w:line="240" w:lineRule="auto"/>
      <w:rPr>
        <w:sz w:val="2"/>
        <w:szCs w:val="2"/>
      </w:rPr>
    </w:pPr>
  </w:p>
  <w:p w14:paraId="12E28BAA" w14:textId="77777777" w:rsidR="00D321FA" w:rsidRPr="00785F18" w:rsidRDefault="00D321FA" w:rsidP="0039744C">
    <w:pPr>
      <w:spacing w:line="240" w:lineRule="auto"/>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gridCol w:w="1392"/>
    </w:tblGrid>
    <w:tr w:rsidR="00D321FA" w:rsidRPr="00785F18" w14:paraId="12E28BB1" w14:textId="77777777" w:rsidTr="003B518B">
      <w:trPr>
        <w:trHeight w:hRule="exact" w:val="240"/>
      </w:trPr>
      <w:tc>
        <w:tcPr>
          <w:tcW w:w="6260" w:type="dxa"/>
          <w:shd w:val="clear" w:color="auto" w:fill="auto"/>
        </w:tcPr>
        <w:p w14:paraId="12E28BAF" w14:textId="77777777" w:rsidR="00D321FA" w:rsidRPr="00785F18" w:rsidRDefault="00D321FA" w:rsidP="003B518B">
          <w:pPr>
            <w:rPr>
              <w:rStyle w:val="Huisstijl-Rubricering"/>
            </w:rPr>
          </w:pPr>
        </w:p>
      </w:tc>
      <w:tc>
        <w:tcPr>
          <w:tcW w:w="1392" w:type="dxa"/>
        </w:tcPr>
        <w:p w14:paraId="12E28BB0" w14:textId="163AC135" w:rsidR="00D321FA" w:rsidRPr="00785F18" w:rsidRDefault="005F4333" w:rsidP="003B518B">
          <w:pPr>
            <w:pStyle w:val="Huisstijl-Paginanummering"/>
            <w:jc w:val="right"/>
          </w:pPr>
          <w:r>
            <w:fldChar w:fldCharType="begin"/>
          </w:r>
          <w:r>
            <w:instrText xml:space="preserve"> DOCPROPERTY  L_PAGE  \* MERGEFORMAT </w:instrText>
          </w:r>
          <w:r>
            <w:fldChar w:fldCharType="separate"/>
          </w:r>
          <w:r w:rsidR="00D321FA">
            <w:t>Pagina</w:t>
          </w:r>
          <w:r>
            <w:fldChar w:fldCharType="end"/>
          </w:r>
          <w:r w:rsidR="00D321FA" w:rsidRPr="00785F18">
            <w:t xml:space="preserve"> </w:t>
          </w:r>
          <w:r w:rsidR="00D321FA" w:rsidRPr="00A908F9">
            <w:rPr>
              <w:rStyle w:val="PageNumber"/>
              <w:noProof w:val="0"/>
              <w:szCs w:val="13"/>
            </w:rPr>
            <w:fldChar w:fldCharType="begin"/>
          </w:r>
          <w:r w:rsidR="00D321FA" w:rsidRPr="00A908F9">
            <w:rPr>
              <w:rStyle w:val="PageNumber"/>
              <w:noProof w:val="0"/>
              <w:szCs w:val="13"/>
            </w:rPr>
            <w:instrText xml:space="preserve"> PAGE </w:instrText>
          </w:r>
          <w:r w:rsidR="00D321FA" w:rsidRPr="00A908F9">
            <w:rPr>
              <w:rStyle w:val="PageNumber"/>
              <w:noProof w:val="0"/>
              <w:szCs w:val="13"/>
            </w:rPr>
            <w:fldChar w:fldCharType="separate"/>
          </w:r>
          <w:r>
            <w:rPr>
              <w:rStyle w:val="PageNumber"/>
              <w:szCs w:val="13"/>
            </w:rPr>
            <w:t>20</w:t>
          </w:r>
          <w:r w:rsidR="00D321FA" w:rsidRPr="00A908F9">
            <w:rPr>
              <w:rStyle w:val="PageNumber"/>
              <w:noProof w:val="0"/>
              <w:szCs w:val="13"/>
            </w:rPr>
            <w:fldChar w:fldCharType="end"/>
          </w:r>
          <w:r w:rsidR="00D321FA" w:rsidRPr="00785F18">
            <w:t xml:space="preserve"> </w:t>
          </w:r>
          <w:r>
            <w:fldChar w:fldCharType="begin"/>
          </w:r>
          <w:r>
            <w:instrText xml:space="preserve"> DOCPROPERTY  L_PAGEOF  \* MERGEFORMAT </w:instrText>
          </w:r>
          <w:r>
            <w:fldChar w:fldCharType="separate"/>
          </w:r>
          <w:r w:rsidR="00D321FA">
            <w:t>van</w:t>
          </w:r>
          <w:r>
            <w:fldChar w:fldCharType="end"/>
          </w:r>
          <w:r w:rsidR="00D321FA" w:rsidRPr="00785F18">
            <w:t xml:space="preserve"> </w:t>
          </w:r>
          <w:r>
            <w:fldChar w:fldCharType="begin"/>
          </w:r>
          <w:r>
            <w:instrText xml:space="preserve"> NUMPAGES   \* MERGEFORMAT </w:instrText>
          </w:r>
          <w:r>
            <w:fldChar w:fldCharType="separate"/>
          </w:r>
          <w:r>
            <w:t>20</w:t>
          </w:r>
          <w:r>
            <w:fldChar w:fldCharType="end"/>
          </w:r>
        </w:p>
      </w:tc>
    </w:tr>
  </w:tbl>
  <w:p w14:paraId="12E28BB2" w14:textId="77777777" w:rsidR="00D321FA" w:rsidRPr="00785F18" w:rsidRDefault="00D321FA" w:rsidP="003B518B">
    <w:pPr>
      <w:spacing w:line="240" w:lineRule="auto"/>
      <w:rPr>
        <w:sz w:val="2"/>
        <w:szCs w:val="2"/>
      </w:rPr>
    </w:pPr>
  </w:p>
  <w:p w14:paraId="12E28BB3" w14:textId="77777777" w:rsidR="00D321FA" w:rsidRPr="00785F18" w:rsidRDefault="00D321FA" w:rsidP="003B518B">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A1B73" w14:textId="77777777" w:rsidR="00D321FA" w:rsidRPr="00B35331" w:rsidRDefault="00D321FA" w:rsidP="00B35331">
      <w:pPr>
        <w:pStyle w:val="Footer"/>
      </w:pPr>
    </w:p>
  </w:footnote>
  <w:footnote w:type="continuationSeparator" w:id="0">
    <w:p w14:paraId="4D526C03" w14:textId="77777777" w:rsidR="00D321FA" w:rsidRDefault="00D321FA">
      <w:r>
        <w:continuationSeparator/>
      </w:r>
    </w:p>
    <w:p w14:paraId="6E069DE8" w14:textId="77777777" w:rsidR="00D321FA" w:rsidRDefault="00D321FA"/>
    <w:p w14:paraId="0EE4BFED" w14:textId="77777777" w:rsidR="00D321FA" w:rsidRDefault="00D321FA"/>
  </w:footnote>
  <w:footnote w:id="1">
    <w:p w14:paraId="12E28BB5" w14:textId="0030EEF7" w:rsidR="00D321FA" w:rsidRDefault="00D321FA" w:rsidP="005150FC">
      <w:pPr>
        <w:pStyle w:val="FootnoteText"/>
      </w:pPr>
      <w:r>
        <w:rPr>
          <w:rStyle w:val="FootnoteReference"/>
        </w:rPr>
        <w:footnoteRef/>
      </w:r>
      <w:r>
        <w:t xml:space="preserve"> </w:t>
      </w:r>
      <w:r>
        <w:tab/>
        <w:t xml:space="preserve">Binnen MOPAN evalueert Nederland samen met 18 gelijkgezinde landen het functioneren van </w:t>
      </w:r>
      <w:r w:rsidR="00C75A9A">
        <w:t>VN-organisaties</w:t>
      </w:r>
      <w:r>
        <w:t xml:space="preserve"> en Internationale Financiële Instellingen. Vanaf 2015 worden, per keer, in een tweejaarlijkse cyclus, ongeveer 13 organisaties doorgelicht op organisatorisch functioneren en ontwikkelingseffectiviteit.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28B84" w14:textId="77777777" w:rsidR="00D321FA" w:rsidRPr="00785F18" w:rsidRDefault="00D321FA">
    <w:pPr>
      <w:pStyle w:val="Header"/>
    </w:pPr>
  </w:p>
  <w:p w14:paraId="12E28B85" w14:textId="77777777" w:rsidR="00D321FA" w:rsidRPr="00785F18" w:rsidRDefault="00D321FA"/>
  <w:p w14:paraId="12E28B86" w14:textId="77777777" w:rsidR="00D321FA" w:rsidRPr="00785F18" w:rsidRDefault="00D321F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28B87" w14:textId="77777777" w:rsidR="00D321FA" w:rsidRPr="00785F18" w:rsidRDefault="00D321FA"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D321FA" w:rsidRPr="006429ED" w14:paraId="12E28B89" w14:textId="77777777" w:rsidTr="002E14E1">
      <w:trPr>
        <w:trHeight w:val="400"/>
      </w:trPr>
      <w:tc>
        <w:tcPr>
          <w:tcW w:w="7520" w:type="dxa"/>
          <w:shd w:val="clear" w:color="auto" w:fill="auto"/>
        </w:tcPr>
        <w:p w14:paraId="12E28B88" w14:textId="419FB9F0" w:rsidR="00D321FA" w:rsidRPr="000D55A1" w:rsidRDefault="00D321FA" w:rsidP="000D55A1">
          <w:pPr>
            <w:adjustRightInd w:val="0"/>
            <w:spacing w:line="180" w:lineRule="exact"/>
            <w:rPr>
              <w:sz w:val="13"/>
              <w:lang w:val="en-GB"/>
            </w:rPr>
          </w:pPr>
          <w:r>
            <w:rPr>
              <w:rStyle w:val="Huisstijl-Koptekst"/>
            </w:rPr>
            <w:fldChar w:fldCharType="begin"/>
          </w:r>
          <w:r w:rsidRPr="00ED3D6E">
            <w:rPr>
              <w:rStyle w:val="Huisstijl-Koptekst"/>
              <w:lang w:val="en-GB"/>
            </w:rPr>
            <w:instrText xml:space="preserve"> Titel </w:instrText>
          </w:r>
          <w:r>
            <w:rPr>
              <w:rStyle w:val="Huisstijl-Koptekst"/>
            </w:rPr>
            <w:fldChar w:fldCharType="separate"/>
          </w:r>
          <w:r w:rsidRPr="00B255E4">
            <w:rPr>
              <w:lang w:val="en-US"/>
            </w:rPr>
            <w:t>Scorecard</w:t>
          </w:r>
          <w:r>
            <w:rPr>
              <w:rStyle w:val="Huisstijl-Koptekst"/>
            </w:rPr>
            <w:fldChar w:fldCharType="end"/>
          </w:r>
          <w:r w:rsidRPr="008517DE">
            <w:rPr>
              <w:rStyle w:val="Huisstijl-Koptekst"/>
              <w:lang w:val="en-GB"/>
            </w:rPr>
            <w:t xml:space="preserve"> | </w:t>
          </w:r>
          <w:r w:rsidRPr="00ED3D6E">
            <w:rPr>
              <w:rStyle w:val="Huisstijl-Koptekst"/>
              <w:lang w:val="en-GB"/>
            </w:rPr>
            <w:t>Inter-American Development Bank</w:t>
          </w:r>
        </w:p>
      </w:tc>
    </w:tr>
  </w:tbl>
  <w:p w14:paraId="12E28B8A" w14:textId="77777777" w:rsidR="00D321FA" w:rsidRPr="008517DE" w:rsidRDefault="00D321FA" w:rsidP="000D7BB7">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28B96" w14:textId="544E6EEA" w:rsidR="00D321FA" w:rsidRPr="00785F18" w:rsidRDefault="00D321FA" w:rsidP="006E263E">
    <w:r>
      <w:rPr>
        <w:noProof/>
      </w:rPr>
      <mc:AlternateContent>
        <mc:Choice Requires="wps">
          <w:drawing>
            <wp:anchor distT="0" distB="0" distL="114300" distR="114300" simplePos="0" relativeHeight="251657728" behindDoc="0" locked="0" layoutInCell="1" allowOverlap="1" wp14:anchorId="12E28BB4" wp14:editId="47E26BCD">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D321FA" w14:paraId="12E28C1A" w14:textId="77777777">
                            <w:trPr>
                              <w:trHeight w:val="2636"/>
                            </w:trPr>
                            <w:tc>
                              <w:tcPr>
                                <w:tcW w:w="737" w:type="dxa"/>
                                <w:shd w:val="clear" w:color="auto" w:fill="auto"/>
                              </w:tcPr>
                              <w:p w14:paraId="12E28C18" w14:textId="77777777" w:rsidR="00D321FA" w:rsidRDefault="00D321FA" w:rsidP="006E263E">
                                <w:pPr>
                                  <w:spacing w:line="240" w:lineRule="auto"/>
                                </w:pPr>
                                <w:bookmarkStart w:id="4" w:name="bm_BZlogo"/>
                                <w:bookmarkEnd w:id="4"/>
                                <w:r>
                                  <w:rPr>
                                    <w:noProof/>
                                  </w:rPr>
                                  <w:drawing>
                                    <wp:inline distT="0" distB="0" distL="0" distR="0" wp14:anchorId="12E28C1C" wp14:editId="12E28C1D">
                                      <wp:extent cx="469900" cy="1587500"/>
                                      <wp:effectExtent l="0" t="0" r="0" b="0"/>
                                      <wp:docPr id="3" name="Afbeelding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1587500"/>
                                              </a:xfrm>
                                              <a:prstGeom prst="rect">
                                                <a:avLst/>
                                              </a:prstGeom>
                                              <a:noFill/>
                                              <a:ln>
                                                <a:noFill/>
                                              </a:ln>
                                            </pic:spPr>
                                          </pic:pic>
                                        </a:graphicData>
                                      </a:graphic>
                                    </wp:inline>
                                  </w:drawing>
                                </w:r>
                              </w:p>
                            </w:tc>
                            <w:tc>
                              <w:tcPr>
                                <w:tcW w:w="5383" w:type="dxa"/>
                                <w:shd w:val="clear" w:color="auto" w:fill="auto"/>
                              </w:tcPr>
                              <w:p w14:paraId="12E28C19" w14:textId="77777777" w:rsidR="00D321FA" w:rsidRDefault="00D321FA" w:rsidP="006E263E">
                                <w:pPr>
                                  <w:spacing w:line="240" w:lineRule="auto"/>
                                </w:pPr>
                                <w:r>
                                  <w:rPr>
                                    <w:noProof/>
                                  </w:rPr>
                                  <w:drawing>
                                    <wp:inline distT="0" distB="0" distL="0" distR="0" wp14:anchorId="12E28C1E" wp14:editId="12E28C1F">
                                      <wp:extent cx="2444750" cy="1651000"/>
                                      <wp:effectExtent l="0" t="0" r="0" b="0"/>
                                      <wp:docPr id="2" name="Afbeelding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4750" cy="1651000"/>
                                              </a:xfrm>
                                              <a:prstGeom prst="rect">
                                                <a:avLst/>
                                              </a:prstGeom>
                                              <a:noFill/>
                                              <a:ln>
                                                <a:noFill/>
                                              </a:ln>
                                            </pic:spPr>
                                          </pic:pic>
                                        </a:graphicData>
                                      </a:graphic>
                                    </wp:inline>
                                  </w:drawing>
                                </w:r>
                              </w:p>
                            </w:tc>
                          </w:tr>
                        </w:tbl>
                        <w:p w14:paraId="12E28C1B" w14:textId="77777777" w:rsidR="00D321FA" w:rsidRDefault="00D321FA"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28BB4"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D321FA" w14:paraId="12E28C1A" w14:textId="77777777">
                      <w:trPr>
                        <w:trHeight w:val="2636"/>
                      </w:trPr>
                      <w:tc>
                        <w:tcPr>
                          <w:tcW w:w="737" w:type="dxa"/>
                          <w:shd w:val="clear" w:color="auto" w:fill="auto"/>
                        </w:tcPr>
                        <w:p w14:paraId="12E28C18" w14:textId="77777777" w:rsidR="00D321FA" w:rsidRDefault="00D321FA" w:rsidP="006E263E">
                          <w:pPr>
                            <w:spacing w:line="240" w:lineRule="auto"/>
                          </w:pPr>
                          <w:bookmarkStart w:id="5" w:name="bm_BZlogo"/>
                          <w:bookmarkEnd w:id="5"/>
                          <w:r>
                            <w:rPr>
                              <w:noProof/>
                            </w:rPr>
                            <w:drawing>
                              <wp:inline distT="0" distB="0" distL="0" distR="0" wp14:anchorId="12E28C1C" wp14:editId="12E28C1D">
                                <wp:extent cx="469900" cy="1587500"/>
                                <wp:effectExtent l="0" t="0" r="0" b="0"/>
                                <wp:docPr id="3" name="Afbeelding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1587500"/>
                                        </a:xfrm>
                                        <a:prstGeom prst="rect">
                                          <a:avLst/>
                                        </a:prstGeom>
                                        <a:noFill/>
                                        <a:ln>
                                          <a:noFill/>
                                        </a:ln>
                                      </pic:spPr>
                                    </pic:pic>
                                  </a:graphicData>
                                </a:graphic>
                              </wp:inline>
                            </w:drawing>
                          </w:r>
                        </w:p>
                      </w:tc>
                      <w:tc>
                        <w:tcPr>
                          <w:tcW w:w="5383" w:type="dxa"/>
                          <w:shd w:val="clear" w:color="auto" w:fill="auto"/>
                        </w:tcPr>
                        <w:p w14:paraId="12E28C19" w14:textId="77777777" w:rsidR="00D321FA" w:rsidRDefault="00D321FA" w:rsidP="006E263E">
                          <w:pPr>
                            <w:spacing w:line="240" w:lineRule="auto"/>
                          </w:pPr>
                          <w:r>
                            <w:rPr>
                              <w:noProof/>
                            </w:rPr>
                            <w:drawing>
                              <wp:inline distT="0" distB="0" distL="0" distR="0" wp14:anchorId="12E28C1E" wp14:editId="12E28C1F">
                                <wp:extent cx="2444750" cy="1651000"/>
                                <wp:effectExtent l="0" t="0" r="0" b="0"/>
                                <wp:docPr id="2" name="Afbeelding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4750" cy="1651000"/>
                                        </a:xfrm>
                                        <a:prstGeom prst="rect">
                                          <a:avLst/>
                                        </a:prstGeom>
                                        <a:noFill/>
                                        <a:ln>
                                          <a:noFill/>
                                        </a:ln>
                                      </pic:spPr>
                                    </pic:pic>
                                  </a:graphicData>
                                </a:graphic>
                              </wp:inline>
                            </w:drawing>
                          </w:r>
                        </w:p>
                      </w:tc>
                    </w:tr>
                  </w:tbl>
                  <w:p w14:paraId="12E28C1B" w14:textId="77777777" w:rsidR="00D321FA" w:rsidRDefault="00D321FA"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D321FA" w:rsidRPr="00785F18" w14:paraId="12E28B98" w14:textId="77777777" w:rsidTr="000A01F6">
      <w:trPr>
        <w:cantSplit/>
        <w:trHeight w:hRule="exact" w:val="3340"/>
      </w:trPr>
      <w:tc>
        <w:tcPr>
          <w:tcW w:w="5640" w:type="dxa"/>
          <w:shd w:val="clear" w:color="auto" w:fill="auto"/>
        </w:tcPr>
        <w:p w14:paraId="12E28B97" w14:textId="77777777" w:rsidR="00D321FA" w:rsidRPr="00785F18" w:rsidRDefault="00D321FA" w:rsidP="00094B45">
          <w:pPr>
            <w:ind w:left="240" w:hanging="240"/>
          </w:pPr>
        </w:p>
      </w:tc>
    </w:tr>
    <w:tr w:rsidR="00D321FA" w:rsidRPr="00B3437D" w14:paraId="12E28B9E" w14:textId="77777777" w:rsidTr="007B0280">
      <w:trPr>
        <w:cantSplit/>
        <w:trHeight w:hRule="exact" w:val="1440"/>
      </w:trPr>
      <w:tc>
        <w:tcPr>
          <w:tcW w:w="5640" w:type="dxa"/>
          <w:shd w:val="clear" w:color="auto" w:fill="auto"/>
        </w:tcPr>
        <w:p w14:paraId="12E28B99" w14:textId="77777777" w:rsidR="00D321FA" w:rsidRPr="00785F18" w:rsidRDefault="00D321FA" w:rsidP="000C0FB6">
          <w:pPr>
            <w:rPr>
              <w:rStyle w:val="Huisstijl-Rubricering"/>
              <w:smallCaps w:val="0"/>
            </w:rPr>
          </w:pPr>
        </w:p>
        <w:p w14:paraId="12E28B9A" w14:textId="77777777" w:rsidR="00D321FA" w:rsidRPr="00785F18" w:rsidRDefault="00D321FA" w:rsidP="000C0FB6">
          <w:pPr>
            <w:spacing w:line="180" w:lineRule="atLeast"/>
            <w:rPr>
              <w:rStyle w:val="Huisstijl-Rubricering"/>
              <w:smallCaps w:val="0"/>
            </w:rPr>
          </w:pPr>
        </w:p>
        <w:p w14:paraId="12E28B9B" w14:textId="7535CC7A" w:rsidR="00D321FA" w:rsidRPr="00B255E4" w:rsidRDefault="00D321FA" w:rsidP="00B36546">
          <w:pPr>
            <w:pStyle w:val="Title"/>
            <w:rPr>
              <w:lang w:val="en-US"/>
            </w:rPr>
          </w:pPr>
          <w:bookmarkStart w:id="6" w:name="titel"/>
          <w:r w:rsidRPr="00B255E4">
            <w:rPr>
              <w:lang w:val="en-US"/>
            </w:rPr>
            <w:t>Scorecard</w:t>
          </w:r>
          <w:bookmarkEnd w:id="6"/>
          <w:r w:rsidRPr="00B255E4">
            <w:rPr>
              <w:lang w:val="en-US"/>
            </w:rPr>
            <w:t xml:space="preserve">  </w:t>
          </w:r>
          <w:bookmarkStart w:id="7" w:name="subtitel"/>
          <w:r w:rsidRPr="00B255E4">
            <w:rPr>
              <w:lang w:val="en-US"/>
            </w:rPr>
            <w:t xml:space="preserve"> </w:t>
          </w:r>
          <w:bookmarkEnd w:id="7"/>
          <w:r w:rsidRPr="00B255E4">
            <w:rPr>
              <w:rStyle w:val="SubtitleChar"/>
              <w:lang w:val="en-US"/>
            </w:rPr>
            <w:t xml:space="preserve">Inter-American Development </w:t>
          </w:r>
          <w:r>
            <w:rPr>
              <w:rStyle w:val="SubtitleChar"/>
              <w:lang w:val="en-US"/>
            </w:rPr>
            <w:t xml:space="preserve">Bank </w:t>
          </w:r>
        </w:p>
        <w:p w14:paraId="12E28B9C" w14:textId="77777777" w:rsidR="00D321FA" w:rsidRPr="00B36546" w:rsidRDefault="00D321FA" w:rsidP="00B36546">
          <w:pPr>
            <w:rPr>
              <w:lang w:val="en-GB"/>
            </w:rPr>
          </w:pPr>
        </w:p>
        <w:p w14:paraId="12E28B9D" w14:textId="77777777" w:rsidR="00D321FA" w:rsidRPr="00B36546" w:rsidRDefault="00D321FA" w:rsidP="00B36546">
          <w:pPr>
            <w:tabs>
              <w:tab w:val="left" w:pos="3281"/>
            </w:tabs>
            <w:rPr>
              <w:lang w:val="en-GB"/>
            </w:rPr>
          </w:pPr>
          <w:r w:rsidRPr="00B36546">
            <w:rPr>
              <w:lang w:val="en-GB"/>
            </w:rPr>
            <w:tab/>
          </w:r>
        </w:p>
      </w:tc>
    </w:tr>
    <w:tr w:rsidR="00D321FA" w:rsidRPr="00B3437D" w14:paraId="12E28BA0" w14:textId="77777777" w:rsidTr="000A01F6">
      <w:trPr>
        <w:cantSplit/>
        <w:trHeight w:hRule="exact" w:val="240"/>
      </w:trPr>
      <w:tc>
        <w:tcPr>
          <w:tcW w:w="5640" w:type="dxa"/>
          <w:shd w:val="clear" w:color="auto" w:fill="auto"/>
        </w:tcPr>
        <w:p w14:paraId="12E28B9F" w14:textId="77777777" w:rsidR="00D321FA" w:rsidRPr="00B36546" w:rsidRDefault="00D321FA" w:rsidP="00B60860">
          <w:pPr>
            <w:rPr>
              <w:lang w:val="en-GB"/>
            </w:rPr>
          </w:pPr>
        </w:p>
      </w:tc>
    </w:tr>
    <w:tr w:rsidR="00D321FA" w:rsidRPr="00B3437D" w14:paraId="12E28BA2" w14:textId="77777777" w:rsidTr="000A01F6">
      <w:trPr>
        <w:cantSplit/>
        <w:trHeight w:hRule="exact" w:val="480"/>
      </w:trPr>
      <w:tc>
        <w:tcPr>
          <w:tcW w:w="5640" w:type="dxa"/>
          <w:shd w:val="clear" w:color="auto" w:fill="auto"/>
        </w:tcPr>
        <w:p w14:paraId="12E28BA1" w14:textId="77777777" w:rsidR="00D321FA" w:rsidRPr="00B36546" w:rsidRDefault="00D321FA" w:rsidP="00EF0ED5">
          <w:pPr>
            <w:rPr>
              <w:lang w:val="en-GB"/>
            </w:rPr>
          </w:pPr>
        </w:p>
      </w:tc>
    </w:tr>
  </w:tbl>
  <w:p w14:paraId="282C5307" w14:textId="36F8A6F2" w:rsidR="00D321FA" w:rsidRPr="00B36546" w:rsidRDefault="00D321FA">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15 augustus 2017</w:t>
    </w:r>
  </w:p>
  <w:p w14:paraId="12E28BA4" w14:textId="77777777" w:rsidR="00D321FA" w:rsidRPr="00B36546" w:rsidRDefault="00D321FA">
    <w:pPr>
      <w:rPr>
        <w:lang w:val="en-GB"/>
      </w:rPr>
    </w:pPr>
  </w:p>
  <w:p w14:paraId="12E28BA5" w14:textId="77777777" w:rsidR="00D321FA" w:rsidRPr="00785F18" w:rsidRDefault="00D321FA" w:rsidP="000602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28BAB" w14:textId="77777777" w:rsidR="00D321FA" w:rsidRPr="00785F18" w:rsidRDefault="00D321FA"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D321FA" w:rsidRPr="008517DE" w14:paraId="12E28BAD" w14:textId="77777777" w:rsidTr="00B06D4B">
      <w:trPr>
        <w:trHeight w:val="400"/>
      </w:trPr>
      <w:tc>
        <w:tcPr>
          <w:tcW w:w="7520" w:type="dxa"/>
          <w:shd w:val="clear" w:color="auto" w:fill="auto"/>
        </w:tcPr>
        <w:p w14:paraId="12E28BAC" w14:textId="5AE15F99" w:rsidR="00D321FA" w:rsidRPr="008517DE" w:rsidRDefault="005F4333" w:rsidP="00B06D4B">
          <w:pPr>
            <w:adjustRightInd w:val="0"/>
            <w:spacing w:line="180" w:lineRule="exact"/>
            <w:rPr>
              <w:sz w:val="13"/>
              <w:lang w:val="en-GB"/>
            </w:rPr>
          </w:pPr>
          <w:r>
            <w:fldChar w:fldCharType="begin"/>
          </w:r>
          <w:r>
            <w:instrText xml:space="preserve"> REF  titel  \* MERGEFORMAT </w:instrText>
          </w:r>
          <w:r>
            <w:fldChar w:fldCharType="separate"/>
          </w:r>
          <w:r w:rsidR="00D321FA" w:rsidRPr="00914A7A">
            <w:rPr>
              <w:rStyle w:val="Huisstijl-Koptekst"/>
              <w:sz w:val="18"/>
              <w:szCs w:val="18"/>
              <w:lang w:val="en-GB"/>
            </w:rPr>
            <w:t>Scorecard</w:t>
          </w:r>
          <w:r>
            <w:rPr>
              <w:rStyle w:val="Huisstijl-Koptekst"/>
              <w:sz w:val="18"/>
              <w:szCs w:val="18"/>
              <w:lang w:val="en-GB"/>
            </w:rPr>
            <w:fldChar w:fldCharType="end"/>
          </w:r>
          <w:r w:rsidR="00D321FA" w:rsidRPr="007B163C">
            <w:rPr>
              <w:rStyle w:val="Huisstijl-Koptekst"/>
              <w:lang w:val="en-GB"/>
            </w:rPr>
            <w:t xml:space="preserve"> | </w:t>
          </w:r>
          <w:r w:rsidR="00D321FA">
            <w:rPr>
              <w:rStyle w:val="Huisstijl-Koptekst"/>
              <w:lang w:val="en-GB"/>
            </w:rPr>
            <w:t>Organisatie</w:t>
          </w:r>
          <w:r w:rsidR="00D321FA" w:rsidRPr="008517DE">
            <w:rPr>
              <w:sz w:val="13"/>
              <w:lang w:val="en-GB"/>
            </w:rPr>
            <w:t xml:space="preserve"> </w:t>
          </w:r>
        </w:p>
      </w:tc>
    </w:tr>
  </w:tbl>
  <w:p w14:paraId="12E28BAE" w14:textId="77777777" w:rsidR="00D321FA" w:rsidRPr="008517DE" w:rsidRDefault="00D321FA"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15:restartNumberingAfterBreak="0">
    <w:nsid w:val="03BB5F57"/>
    <w:multiLevelType w:val="multilevel"/>
    <w:tmpl w:val="5AEEDE88"/>
    <w:numStyleLink w:val="StyleBulleted"/>
  </w:abstractNum>
  <w:abstractNum w:abstractNumId="2"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A28577A"/>
    <w:multiLevelType w:val="hybridMultilevel"/>
    <w:tmpl w:val="89A60FE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7"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623655D"/>
    <w:multiLevelType w:val="multilevel"/>
    <w:tmpl w:val="5AEEDE88"/>
    <w:numStyleLink w:val="StyleBulleted"/>
  </w:abstractNum>
  <w:abstractNum w:abstractNumId="9"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A5A20BC"/>
    <w:multiLevelType w:val="multilevel"/>
    <w:tmpl w:val="5AEEDE88"/>
    <w:numStyleLink w:val="StyleBulleted"/>
  </w:abstractNum>
  <w:abstractNum w:abstractNumId="11"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3"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2F82FF2"/>
    <w:multiLevelType w:val="multilevel"/>
    <w:tmpl w:val="5AEEDE88"/>
    <w:numStyleLink w:val="StyleBulleted"/>
  </w:abstractNum>
  <w:abstractNum w:abstractNumId="16"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72E4A80"/>
    <w:multiLevelType w:val="hybridMultilevel"/>
    <w:tmpl w:val="C316A3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9"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0"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3" w15:restartNumberingAfterBreak="0">
    <w:nsid w:val="3BB421A6"/>
    <w:multiLevelType w:val="hybridMultilevel"/>
    <w:tmpl w:val="B02E75E8"/>
    <w:lvl w:ilvl="0" w:tplc="04130011">
      <w:start w:val="1"/>
      <w:numFmt w:val="decimal"/>
      <w:lvlText w:val="%1)"/>
      <w:lvlJc w:val="left"/>
      <w:pPr>
        <w:ind w:left="587" w:hanging="360"/>
      </w:pPr>
      <w:rPr>
        <w:rFonts w:hint="default"/>
      </w:rPr>
    </w:lvl>
    <w:lvl w:ilvl="1" w:tplc="04130019" w:tentative="1">
      <w:start w:val="1"/>
      <w:numFmt w:val="lowerLetter"/>
      <w:lvlText w:val="%2."/>
      <w:lvlJc w:val="left"/>
      <w:pPr>
        <w:ind w:left="1307" w:hanging="360"/>
      </w:pPr>
    </w:lvl>
    <w:lvl w:ilvl="2" w:tplc="0413001B" w:tentative="1">
      <w:start w:val="1"/>
      <w:numFmt w:val="lowerRoman"/>
      <w:lvlText w:val="%3."/>
      <w:lvlJc w:val="right"/>
      <w:pPr>
        <w:ind w:left="2027" w:hanging="180"/>
      </w:pPr>
    </w:lvl>
    <w:lvl w:ilvl="3" w:tplc="0413000F" w:tentative="1">
      <w:start w:val="1"/>
      <w:numFmt w:val="decimal"/>
      <w:lvlText w:val="%4."/>
      <w:lvlJc w:val="left"/>
      <w:pPr>
        <w:ind w:left="2747" w:hanging="360"/>
      </w:pPr>
    </w:lvl>
    <w:lvl w:ilvl="4" w:tplc="04130019" w:tentative="1">
      <w:start w:val="1"/>
      <w:numFmt w:val="lowerLetter"/>
      <w:lvlText w:val="%5."/>
      <w:lvlJc w:val="left"/>
      <w:pPr>
        <w:ind w:left="3467" w:hanging="360"/>
      </w:pPr>
    </w:lvl>
    <w:lvl w:ilvl="5" w:tplc="0413001B" w:tentative="1">
      <w:start w:val="1"/>
      <w:numFmt w:val="lowerRoman"/>
      <w:lvlText w:val="%6."/>
      <w:lvlJc w:val="right"/>
      <w:pPr>
        <w:ind w:left="4187" w:hanging="180"/>
      </w:pPr>
    </w:lvl>
    <w:lvl w:ilvl="6" w:tplc="0413000F" w:tentative="1">
      <w:start w:val="1"/>
      <w:numFmt w:val="decimal"/>
      <w:lvlText w:val="%7."/>
      <w:lvlJc w:val="left"/>
      <w:pPr>
        <w:ind w:left="4907" w:hanging="360"/>
      </w:pPr>
    </w:lvl>
    <w:lvl w:ilvl="7" w:tplc="04130019" w:tentative="1">
      <w:start w:val="1"/>
      <w:numFmt w:val="lowerLetter"/>
      <w:lvlText w:val="%8."/>
      <w:lvlJc w:val="left"/>
      <w:pPr>
        <w:ind w:left="5627" w:hanging="360"/>
      </w:pPr>
    </w:lvl>
    <w:lvl w:ilvl="8" w:tplc="0413001B" w:tentative="1">
      <w:start w:val="1"/>
      <w:numFmt w:val="lowerRoman"/>
      <w:lvlText w:val="%9."/>
      <w:lvlJc w:val="right"/>
      <w:pPr>
        <w:ind w:left="6347" w:hanging="180"/>
      </w:pPr>
    </w:lvl>
  </w:abstractNum>
  <w:abstractNum w:abstractNumId="24" w15:restartNumberingAfterBreak="0">
    <w:nsid w:val="408335F4"/>
    <w:multiLevelType w:val="multilevel"/>
    <w:tmpl w:val="5AEEDE88"/>
    <w:numStyleLink w:val="StyleBulleted"/>
  </w:abstractNum>
  <w:abstractNum w:abstractNumId="25"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6"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D4564B3"/>
    <w:multiLevelType w:val="hybridMultilevel"/>
    <w:tmpl w:val="AA785F72"/>
    <w:lvl w:ilvl="0" w:tplc="3DFEB60E">
      <w:start w:val="3"/>
      <w:numFmt w:val="decimal"/>
      <w:lvlText w:val="%1"/>
      <w:lvlJc w:val="left"/>
      <w:pPr>
        <w:ind w:left="-802" w:hanging="360"/>
      </w:pPr>
      <w:rPr>
        <w:rFonts w:hint="default"/>
      </w:rPr>
    </w:lvl>
    <w:lvl w:ilvl="1" w:tplc="04130019" w:tentative="1">
      <w:start w:val="1"/>
      <w:numFmt w:val="lowerLetter"/>
      <w:lvlText w:val="%2."/>
      <w:lvlJc w:val="left"/>
      <w:pPr>
        <w:ind w:left="-82" w:hanging="360"/>
      </w:pPr>
    </w:lvl>
    <w:lvl w:ilvl="2" w:tplc="0413001B" w:tentative="1">
      <w:start w:val="1"/>
      <w:numFmt w:val="lowerRoman"/>
      <w:lvlText w:val="%3."/>
      <w:lvlJc w:val="right"/>
      <w:pPr>
        <w:ind w:left="638" w:hanging="180"/>
      </w:pPr>
    </w:lvl>
    <w:lvl w:ilvl="3" w:tplc="0413000F" w:tentative="1">
      <w:start w:val="1"/>
      <w:numFmt w:val="decimal"/>
      <w:lvlText w:val="%4."/>
      <w:lvlJc w:val="left"/>
      <w:pPr>
        <w:ind w:left="1358" w:hanging="360"/>
      </w:pPr>
    </w:lvl>
    <w:lvl w:ilvl="4" w:tplc="04130019" w:tentative="1">
      <w:start w:val="1"/>
      <w:numFmt w:val="lowerLetter"/>
      <w:lvlText w:val="%5."/>
      <w:lvlJc w:val="left"/>
      <w:pPr>
        <w:ind w:left="2078" w:hanging="360"/>
      </w:pPr>
    </w:lvl>
    <w:lvl w:ilvl="5" w:tplc="0413001B" w:tentative="1">
      <w:start w:val="1"/>
      <w:numFmt w:val="lowerRoman"/>
      <w:lvlText w:val="%6."/>
      <w:lvlJc w:val="right"/>
      <w:pPr>
        <w:ind w:left="2798" w:hanging="180"/>
      </w:pPr>
    </w:lvl>
    <w:lvl w:ilvl="6" w:tplc="0413000F" w:tentative="1">
      <w:start w:val="1"/>
      <w:numFmt w:val="decimal"/>
      <w:lvlText w:val="%7."/>
      <w:lvlJc w:val="left"/>
      <w:pPr>
        <w:ind w:left="3518" w:hanging="360"/>
      </w:pPr>
    </w:lvl>
    <w:lvl w:ilvl="7" w:tplc="04130019" w:tentative="1">
      <w:start w:val="1"/>
      <w:numFmt w:val="lowerLetter"/>
      <w:lvlText w:val="%8."/>
      <w:lvlJc w:val="left"/>
      <w:pPr>
        <w:ind w:left="4238" w:hanging="360"/>
      </w:pPr>
    </w:lvl>
    <w:lvl w:ilvl="8" w:tplc="0413001B" w:tentative="1">
      <w:start w:val="1"/>
      <w:numFmt w:val="lowerRoman"/>
      <w:lvlText w:val="%9."/>
      <w:lvlJc w:val="right"/>
      <w:pPr>
        <w:ind w:left="4958" w:hanging="180"/>
      </w:pPr>
    </w:lvl>
  </w:abstractNum>
  <w:abstractNum w:abstractNumId="29" w15:restartNumberingAfterBreak="0">
    <w:nsid w:val="5D750EE7"/>
    <w:multiLevelType w:val="multilevel"/>
    <w:tmpl w:val="5AEEDE88"/>
    <w:numStyleLink w:val="StyleBulleted"/>
  </w:abstractNum>
  <w:abstractNum w:abstractNumId="30"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1"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2" w15:restartNumberingAfterBreak="0">
    <w:nsid w:val="63A20AAC"/>
    <w:multiLevelType w:val="multilevel"/>
    <w:tmpl w:val="5AEEDE88"/>
    <w:numStyleLink w:val="StyleBulleted"/>
  </w:abstractNum>
  <w:abstractNum w:abstractNumId="33"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4"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5" w15:restartNumberingAfterBreak="0">
    <w:nsid w:val="6D193965"/>
    <w:multiLevelType w:val="multilevel"/>
    <w:tmpl w:val="5AEEDE88"/>
    <w:numStyleLink w:val="StyleBulleted"/>
  </w:abstractNum>
  <w:abstractNum w:abstractNumId="36" w15:restartNumberingAfterBreak="0">
    <w:nsid w:val="6F1B2CBC"/>
    <w:multiLevelType w:val="multilevel"/>
    <w:tmpl w:val="5AEEDE88"/>
    <w:numStyleLink w:val="StyleBulleted"/>
  </w:abstractNum>
  <w:abstractNum w:abstractNumId="37"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8"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9"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BA00343"/>
    <w:multiLevelType w:val="hybridMultilevel"/>
    <w:tmpl w:val="5B2AE8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7EDD3A40"/>
    <w:multiLevelType w:val="hybridMultilevel"/>
    <w:tmpl w:val="AF3E92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0"/>
  </w:num>
  <w:num w:numId="2">
    <w:abstractNumId w:val="33"/>
  </w:num>
  <w:num w:numId="3">
    <w:abstractNumId w:val="22"/>
  </w:num>
  <w:num w:numId="4">
    <w:abstractNumId w:val="0"/>
  </w:num>
  <w:num w:numId="5">
    <w:abstractNumId w:val="34"/>
  </w:num>
  <w:num w:numId="6">
    <w:abstractNumId w:val="2"/>
  </w:num>
  <w:num w:numId="7">
    <w:abstractNumId w:val="13"/>
  </w:num>
  <w:num w:numId="8">
    <w:abstractNumId w:val="36"/>
  </w:num>
  <w:num w:numId="9">
    <w:abstractNumId w:val="32"/>
  </w:num>
  <w:num w:numId="10">
    <w:abstractNumId w:val="15"/>
  </w:num>
  <w:num w:numId="11">
    <w:abstractNumId w:val="8"/>
  </w:num>
  <w:num w:numId="12">
    <w:abstractNumId w:val="35"/>
  </w:num>
  <w:num w:numId="13">
    <w:abstractNumId w:val="19"/>
  </w:num>
  <w:num w:numId="14">
    <w:abstractNumId w:val="1"/>
  </w:num>
  <w:num w:numId="15">
    <w:abstractNumId w:val="10"/>
  </w:num>
  <w:num w:numId="16">
    <w:abstractNumId w:val="31"/>
  </w:num>
  <w:num w:numId="17">
    <w:abstractNumId w:val="24"/>
  </w:num>
  <w:num w:numId="18">
    <w:abstractNumId w:val="29"/>
  </w:num>
  <w:num w:numId="19">
    <w:abstractNumId w:val="18"/>
  </w:num>
  <w:num w:numId="20">
    <w:abstractNumId w:val="38"/>
  </w:num>
  <w:num w:numId="21">
    <w:abstractNumId w:val="6"/>
  </w:num>
  <w:num w:numId="22">
    <w:abstractNumId w:val="25"/>
  </w:num>
  <w:num w:numId="23">
    <w:abstractNumId w:val="39"/>
  </w:num>
  <w:num w:numId="24">
    <w:abstractNumId w:val="16"/>
  </w:num>
  <w:num w:numId="25">
    <w:abstractNumId w:val="16"/>
  </w:num>
  <w:num w:numId="26">
    <w:abstractNumId w:val="12"/>
  </w:num>
  <w:num w:numId="27">
    <w:abstractNumId w:val="11"/>
  </w:num>
  <w:num w:numId="28">
    <w:abstractNumId w:val="9"/>
  </w:num>
  <w:num w:numId="29">
    <w:abstractNumId w:val="7"/>
  </w:num>
  <w:num w:numId="30">
    <w:abstractNumId w:val="3"/>
  </w:num>
  <w:num w:numId="31">
    <w:abstractNumId w:val="21"/>
  </w:num>
  <w:num w:numId="32">
    <w:abstractNumId w:val="20"/>
  </w:num>
  <w:num w:numId="33">
    <w:abstractNumId w:val="17"/>
  </w:num>
  <w:num w:numId="34">
    <w:abstractNumId w:val="40"/>
  </w:num>
  <w:num w:numId="35">
    <w:abstractNumId w:val="5"/>
  </w:num>
  <w:num w:numId="36">
    <w:abstractNumId w:val="27"/>
  </w:num>
  <w:num w:numId="37">
    <w:abstractNumId w:val="37"/>
  </w:num>
  <w:num w:numId="38">
    <w:abstractNumId w:val="14"/>
  </w:num>
  <w:num w:numId="39">
    <w:abstractNumId w:val="26"/>
  </w:num>
  <w:num w:numId="40">
    <w:abstractNumId w:val="4"/>
  </w:num>
  <w:num w:numId="41">
    <w:abstractNumId w:val="41"/>
  </w:num>
  <w:num w:numId="42">
    <w:abstractNumId w:val="23"/>
  </w:num>
  <w:num w:numId="43">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40961" fill="f" fillcolor="white" stroke="f">
      <v:fill color="white" on="f"/>
      <v:stroke on="f"/>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0BEA"/>
    <w:rsid w:val="00001FFC"/>
    <w:rsid w:val="0000367D"/>
    <w:rsid w:val="0000392E"/>
    <w:rsid w:val="00003A32"/>
    <w:rsid w:val="000054B7"/>
    <w:rsid w:val="00005884"/>
    <w:rsid w:val="00006E47"/>
    <w:rsid w:val="000102FF"/>
    <w:rsid w:val="0001095C"/>
    <w:rsid w:val="000114F8"/>
    <w:rsid w:val="00011E5B"/>
    <w:rsid w:val="0001231B"/>
    <w:rsid w:val="00013196"/>
    <w:rsid w:val="00016C57"/>
    <w:rsid w:val="00016EE7"/>
    <w:rsid w:val="00020189"/>
    <w:rsid w:val="00020EE4"/>
    <w:rsid w:val="000227EB"/>
    <w:rsid w:val="000234D6"/>
    <w:rsid w:val="0002628D"/>
    <w:rsid w:val="00026447"/>
    <w:rsid w:val="0002695C"/>
    <w:rsid w:val="00026EB7"/>
    <w:rsid w:val="00027192"/>
    <w:rsid w:val="00027695"/>
    <w:rsid w:val="00027B20"/>
    <w:rsid w:val="000304C1"/>
    <w:rsid w:val="000307AC"/>
    <w:rsid w:val="00031268"/>
    <w:rsid w:val="000329DD"/>
    <w:rsid w:val="00032C0E"/>
    <w:rsid w:val="0003321E"/>
    <w:rsid w:val="00033419"/>
    <w:rsid w:val="00033426"/>
    <w:rsid w:val="00033950"/>
    <w:rsid w:val="00033E8D"/>
    <w:rsid w:val="00034A84"/>
    <w:rsid w:val="00035E67"/>
    <w:rsid w:val="000375ED"/>
    <w:rsid w:val="0004192F"/>
    <w:rsid w:val="000422E7"/>
    <w:rsid w:val="00044809"/>
    <w:rsid w:val="00045A4F"/>
    <w:rsid w:val="00046866"/>
    <w:rsid w:val="00047318"/>
    <w:rsid w:val="0005061F"/>
    <w:rsid w:val="00050ABD"/>
    <w:rsid w:val="00050B6A"/>
    <w:rsid w:val="00051387"/>
    <w:rsid w:val="00051416"/>
    <w:rsid w:val="000559DE"/>
    <w:rsid w:val="00056725"/>
    <w:rsid w:val="00057B03"/>
    <w:rsid w:val="0006027D"/>
    <w:rsid w:val="000605A3"/>
    <w:rsid w:val="00061968"/>
    <w:rsid w:val="00062536"/>
    <w:rsid w:val="00066AE2"/>
    <w:rsid w:val="00066F2B"/>
    <w:rsid w:val="0006700B"/>
    <w:rsid w:val="000700E2"/>
    <w:rsid w:val="000705D1"/>
    <w:rsid w:val="00071F28"/>
    <w:rsid w:val="00072371"/>
    <w:rsid w:val="000724C7"/>
    <w:rsid w:val="00076FCC"/>
    <w:rsid w:val="00077166"/>
    <w:rsid w:val="00077900"/>
    <w:rsid w:val="00080877"/>
    <w:rsid w:val="00080AE8"/>
    <w:rsid w:val="00081825"/>
    <w:rsid w:val="00081DD4"/>
    <w:rsid w:val="000824C4"/>
    <w:rsid w:val="0008255C"/>
    <w:rsid w:val="00082BB1"/>
    <w:rsid w:val="00082C0F"/>
    <w:rsid w:val="000841A2"/>
    <w:rsid w:val="000842B5"/>
    <w:rsid w:val="000842F4"/>
    <w:rsid w:val="00085F22"/>
    <w:rsid w:val="00086065"/>
    <w:rsid w:val="0008640E"/>
    <w:rsid w:val="0008784B"/>
    <w:rsid w:val="00087FA0"/>
    <w:rsid w:val="00087FEF"/>
    <w:rsid w:val="000903DE"/>
    <w:rsid w:val="0009064C"/>
    <w:rsid w:val="00090808"/>
    <w:rsid w:val="00090ECC"/>
    <w:rsid w:val="0009114D"/>
    <w:rsid w:val="000912C6"/>
    <w:rsid w:val="000924C1"/>
    <w:rsid w:val="00093522"/>
    <w:rsid w:val="00094518"/>
    <w:rsid w:val="00094A14"/>
    <w:rsid w:val="00094B45"/>
    <w:rsid w:val="00095B22"/>
    <w:rsid w:val="00096680"/>
    <w:rsid w:val="00096E6B"/>
    <w:rsid w:val="00097B3F"/>
    <w:rsid w:val="000A01F6"/>
    <w:rsid w:val="000A0BB1"/>
    <w:rsid w:val="000A214E"/>
    <w:rsid w:val="000A22CF"/>
    <w:rsid w:val="000A27FF"/>
    <w:rsid w:val="000A2DF7"/>
    <w:rsid w:val="000A381C"/>
    <w:rsid w:val="000A3AF6"/>
    <w:rsid w:val="000B1C5C"/>
    <w:rsid w:val="000B2A0F"/>
    <w:rsid w:val="000B477F"/>
    <w:rsid w:val="000B64F8"/>
    <w:rsid w:val="000B710B"/>
    <w:rsid w:val="000B7281"/>
    <w:rsid w:val="000B73BA"/>
    <w:rsid w:val="000C05BF"/>
    <w:rsid w:val="000C0757"/>
    <w:rsid w:val="000C07A1"/>
    <w:rsid w:val="000C082E"/>
    <w:rsid w:val="000C0FB6"/>
    <w:rsid w:val="000C2146"/>
    <w:rsid w:val="000C3F40"/>
    <w:rsid w:val="000C43A2"/>
    <w:rsid w:val="000C4679"/>
    <w:rsid w:val="000C4D6C"/>
    <w:rsid w:val="000C4F19"/>
    <w:rsid w:val="000C521E"/>
    <w:rsid w:val="000C575D"/>
    <w:rsid w:val="000C5810"/>
    <w:rsid w:val="000C5E4F"/>
    <w:rsid w:val="000C6EED"/>
    <w:rsid w:val="000D1A5E"/>
    <w:rsid w:val="000D2B2F"/>
    <w:rsid w:val="000D2C16"/>
    <w:rsid w:val="000D2ECC"/>
    <w:rsid w:val="000D3986"/>
    <w:rsid w:val="000D55A1"/>
    <w:rsid w:val="000D6885"/>
    <w:rsid w:val="000D7666"/>
    <w:rsid w:val="000D7BB7"/>
    <w:rsid w:val="000E15AA"/>
    <w:rsid w:val="000E21AD"/>
    <w:rsid w:val="000E2E14"/>
    <w:rsid w:val="000E78F5"/>
    <w:rsid w:val="000F03D7"/>
    <w:rsid w:val="000F1533"/>
    <w:rsid w:val="000F1A72"/>
    <w:rsid w:val="000F2632"/>
    <w:rsid w:val="000F263A"/>
    <w:rsid w:val="000F3CE3"/>
    <w:rsid w:val="000F41EA"/>
    <w:rsid w:val="000F46A7"/>
    <w:rsid w:val="000F4B53"/>
    <w:rsid w:val="000F53BE"/>
    <w:rsid w:val="000F6168"/>
    <w:rsid w:val="000F6E36"/>
    <w:rsid w:val="00101F98"/>
    <w:rsid w:val="00102DFB"/>
    <w:rsid w:val="001031E7"/>
    <w:rsid w:val="00104517"/>
    <w:rsid w:val="001063AC"/>
    <w:rsid w:val="001069BA"/>
    <w:rsid w:val="00106C39"/>
    <w:rsid w:val="00106C8F"/>
    <w:rsid w:val="001075D0"/>
    <w:rsid w:val="00107EB4"/>
    <w:rsid w:val="001101C9"/>
    <w:rsid w:val="00111A48"/>
    <w:rsid w:val="00115C56"/>
    <w:rsid w:val="00116AEB"/>
    <w:rsid w:val="00116E2A"/>
    <w:rsid w:val="001210BF"/>
    <w:rsid w:val="00121AD6"/>
    <w:rsid w:val="00122BDB"/>
    <w:rsid w:val="00123082"/>
    <w:rsid w:val="00123704"/>
    <w:rsid w:val="00124407"/>
    <w:rsid w:val="00124B64"/>
    <w:rsid w:val="00125028"/>
    <w:rsid w:val="00125154"/>
    <w:rsid w:val="00125A07"/>
    <w:rsid w:val="001270C7"/>
    <w:rsid w:val="00130DA2"/>
    <w:rsid w:val="00131D1F"/>
    <w:rsid w:val="001331D2"/>
    <w:rsid w:val="001342FB"/>
    <w:rsid w:val="00134D07"/>
    <w:rsid w:val="00136130"/>
    <w:rsid w:val="00136D94"/>
    <w:rsid w:val="00136EFD"/>
    <w:rsid w:val="00136F13"/>
    <w:rsid w:val="0014161D"/>
    <w:rsid w:val="00142259"/>
    <w:rsid w:val="00142628"/>
    <w:rsid w:val="00142859"/>
    <w:rsid w:val="001429A1"/>
    <w:rsid w:val="00142BCD"/>
    <w:rsid w:val="001431E4"/>
    <w:rsid w:val="00144379"/>
    <w:rsid w:val="001449B0"/>
    <w:rsid w:val="001450BA"/>
    <w:rsid w:val="00146444"/>
    <w:rsid w:val="0014786A"/>
    <w:rsid w:val="001507A1"/>
    <w:rsid w:val="0015109B"/>
    <w:rsid w:val="001516A4"/>
    <w:rsid w:val="00154366"/>
    <w:rsid w:val="00154AD8"/>
    <w:rsid w:val="00157FB4"/>
    <w:rsid w:val="00160C4A"/>
    <w:rsid w:val="00163F42"/>
    <w:rsid w:val="00163F5B"/>
    <w:rsid w:val="00163FA2"/>
    <w:rsid w:val="00163FF4"/>
    <w:rsid w:val="00164384"/>
    <w:rsid w:val="00164D75"/>
    <w:rsid w:val="00165BCE"/>
    <w:rsid w:val="00166242"/>
    <w:rsid w:val="00167F79"/>
    <w:rsid w:val="00170B34"/>
    <w:rsid w:val="00171AFC"/>
    <w:rsid w:val="00172EA6"/>
    <w:rsid w:val="001739A0"/>
    <w:rsid w:val="00174DF8"/>
    <w:rsid w:val="001753DD"/>
    <w:rsid w:val="001756F1"/>
    <w:rsid w:val="00176C2A"/>
    <w:rsid w:val="0017755C"/>
    <w:rsid w:val="001802CA"/>
    <w:rsid w:val="00180CBA"/>
    <w:rsid w:val="00180E29"/>
    <w:rsid w:val="00181629"/>
    <w:rsid w:val="00181A35"/>
    <w:rsid w:val="00182C7C"/>
    <w:rsid w:val="00183CBA"/>
    <w:rsid w:val="00183FB1"/>
    <w:rsid w:val="00185576"/>
    <w:rsid w:val="00185951"/>
    <w:rsid w:val="0019077E"/>
    <w:rsid w:val="00191587"/>
    <w:rsid w:val="00192687"/>
    <w:rsid w:val="0019336F"/>
    <w:rsid w:val="0019350D"/>
    <w:rsid w:val="00193994"/>
    <w:rsid w:val="00193F8A"/>
    <w:rsid w:val="00194809"/>
    <w:rsid w:val="001952F9"/>
    <w:rsid w:val="00195B13"/>
    <w:rsid w:val="00195B84"/>
    <w:rsid w:val="001A0919"/>
    <w:rsid w:val="001A2505"/>
    <w:rsid w:val="001A4CE3"/>
    <w:rsid w:val="001A5422"/>
    <w:rsid w:val="001B0189"/>
    <w:rsid w:val="001B01D9"/>
    <w:rsid w:val="001B1B4E"/>
    <w:rsid w:val="001B2C4B"/>
    <w:rsid w:val="001B331F"/>
    <w:rsid w:val="001B3ED2"/>
    <w:rsid w:val="001B5DC5"/>
    <w:rsid w:val="001B5EBF"/>
    <w:rsid w:val="001B5FE9"/>
    <w:rsid w:val="001B793F"/>
    <w:rsid w:val="001B7D7E"/>
    <w:rsid w:val="001C0CF4"/>
    <w:rsid w:val="001C0E34"/>
    <w:rsid w:val="001C1AF8"/>
    <w:rsid w:val="001C1B53"/>
    <w:rsid w:val="001C3DBE"/>
    <w:rsid w:val="001C3DE6"/>
    <w:rsid w:val="001C47F8"/>
    <w:rsid w:val="001C49CC"/>
    <w:rsid w:val="001C4B94"/>
    <w:rsid w:val="001C6550"/>
    <w:rsid w:val="001C793E"/>
    <w:rsid w:val="001D0371"/>
    <w:rsid w:val="001D0FB6"/>
    <w:rsid w:val="001D17E8"/>
    <w:rsid w:val="001D22BC"/>
    <w:rsid w:val="001D288C"/>
    <w:rsid w:val="001D2FD8"/>
    <w:rsid w:val="001D4E9D"/>
    <w:rsid w:val="001D5178"/>
    <w:rsid w:val="001D7F60"/>
    <w:rsid w:val="001E1D60"/>
    <w:rsid w:val="001E1E35"/>
    <w:rsid w:val="001E2698"/>
    <w:rsid w:val="001E2B9C"/>
    <w:rsid w:val="001E3082"/>
    <w:rsid w:val="001E34C6"/>
    <w:rsid w:val="001E5581"/>
    <w:rsid w:val="001E73BA"/>
    <w:rsid w:val="001F011F"/>
    <w:rsid w:val="001F0250"/>
    <w:rsid w:val="001F096E"/>
    <w:rsid w:val="001F0D75"/>
    <w:rsid w:val="001F0FF5"/>
    <w:rsid w:val="001F1773"/>
    <w:rsid w:val="001F2538"/>
    <w:rsid w:val="001F3AD3"/>
    <w:rsid w:val="001F4D72"/>
    <w:rsid w:val="001F562C"/>
    <w:rsid w:val="001F583B"/>
    <w:rsid w:val="001F6340"/>
    <w:rsid w:val="002068BD"/>
    <w:rsid w:val="00210629"/>
    <w:rsid w:val="00211122"/>
    <w:rsid w:val="002121BE"/>
    <w:rsid w:val="0021384A"/>
    <w:rsid w:val="00213DFD"/>
    <w:rsid w:val="00215005"/>
    <w:rsid w:val="00216302"/>
    <w:rsid w:val="002165AB"/>
    <w:rsid w:val="00216ADD"/>
    <w:rsid w:val="002212B1"/>
    <w:rsid w:val="00221806"/>
    <w:rsid w:val="002222A2"/>
    <w:rsid w:val="0022295F"/>
    <w:rsid w:val="00223E42"/>
    <w:rsid w:val="00234DF4"/>
    <w:rsid w:val="00234F48"/>
    <w:rsid w:val="002369BE"/>
    <w:rsid w:val="00237401"/>
    <w:rsid w:val="00237F45"/>
    <w:rsid w:val="0024163C"/>
    <w:rsid w:val="00242356"/>
    <w:rsid w:val="002424BD"/>
    <w:rsid w:val="002428E3"/>
    <w:rsid w:val="002430E5"/>
    <w:rsid w:val="00247458"/>
    <w:rsid w:val="0025034D"/>
    <w:rsid w:val="00251C0D"/>
    <w:rsid w:val="00254103"/>
    <w:rsid w:val="002560C9"/>
    <w:rsid w:val="002568BC"/>
    <w:rsid w:val="00256E73"/>
    <w:rsid w:val="0025704A"/>
    <w:rsid w:val="002579E2"/>
    <w:rsid w:val="00260005"/>
    <w:rsid w:val="002607ED"/>
    <w:rsid w:val="00260BAF"/>
    <w:rsid w:val="00261F77"/>
    <w:rsid w:val="002633CA"/>
    <w:rsid w:val="002644F5"/>
    <w:rsid w:val="00264CB9"/>
    <w:rsid w:val="002650F7"/>
    <w:rsid w:val="00266018"/>
    <w:rsid w:val="00267BA5"/>
    <w:rsid w:val="0027051F"/>
    <w:rsid w:val="00271F9F"/>
    <w:rsid w:val="002731C3"/>
    <w:rsid w:val="002733CD"/>
    <w:rsid w:val="0027471C"/>
    <w:rsid w:val="002755E8"/>
    <w:rsid w:val="002803F3"/>
    <w:rsid w:val="0028070F"/>
    <w:rsid w:val="00280CF7"/>
    <w:rsid w:val="00280F74"/>
    <w:rsid w:val="00281739"/>
    <w:rsid w:val="00281846"/>
    <w:rsid w:val="00283363"/>
    <w:rsid w:val="0028460E"/>
    <w:rsid w:val="00285C3A"/>
    <w:rsid w:val="00286998"/>
    <w:rsid w:val="002874CC"/>
    <w:rsid w:val="00290320"/>
    <w:rsid w:val="00290657"/>
    <w:rsid w:val="002912E8"/>
    <w:rsid w:val="00291813"/>
    <w:rsid w:val="00295316"/>
    <w:rsid w:val="002954FB"/>
    <w:rsid w:val="0029562B"/>
    <w:rsid w:val="002957DE"/>
    <w:rsid w:val="00296115"/>
    <w:rsid w:val="00297320"/>
    <w:rsid w:val="00297AA5"/>
    <w:rsid w:val="002A0237"/>
    <w:rsid w:val="002A149F"/>
    <w:rsid w:val="002A1CB5"/>
    <w:rsid w:val="002A1CBE"/>
    <w:rsid w:val="002A310E"/>
    <w:rsid w:val="002A5261"/>
    <w:rsid w:val="002A6BF7"/>
    <w:rsid w:val="002A6E00"/>
    <w:rsid w:val="002B0F2F"/>
    <w:rsid w:val="002B1373"/>
    <w:rsid w:val="002B153C"/>
    <w:rsid w:val="002B1CB3"/>
    <w:rsid w:val="002B48CD"/>
    <w:rsid w:val="002B7582"/>
    <w:rsid w:val="002B76D0"/>
    <w:rsid w:val="002C2320"/>
    <w:rsid w:val="002C3659"/>
    <w:rsid w:val="002C45B0"/>
    <w:rsid w:val="002C6064"/>
    <w:rsid w:val="002C6A05"/>
    <w:rsid w:val="002C7285"/>
    <w:rsid w:val="002C7362"/>
    <w:rsid w:val="002C75D9"/>
    <w:rsid w:val="002C77AF"/>
    <w:rsid w:val="002C7F7A"/>
    <w:rsid w:val="002D1801"/>
    <w:rsid w:val="002D3129"/>
    <w:rsid w:val="002D317B"/>
    <w:rsid w:val="002D44B0"/>
    <w:rsid w:val="002D5A54"/>
    <w:rsid w:val="002D6BF5"/>
    <w:rsid w:val="002D70F3"/>
    <w:rsid w:val="002D7167"/>
    <w:rsid w:val="002E05CA"/>
    <w:rsid w:val="002E0F69"/>
    <w:rsid w:val="002E14DF"/>
    <w:rsid w:val="002E14E1"/>
    <w:rsid w:val="002E184D"/>
    <w:rsid w:val="002E1FAD"/>
    <w:rsid w:val="002E3F64"/>
    <w:rsid w:val="002E44D1"/>
    <w:rsid w:val="002E572E"/>
    <w:rsid w:val="002E7941"/>
    <w:rsid w:val="002F16AC"/>
    <w:rsid w:val="002F1D5F"/>
    <w:rsid w:val="002F2C30"/>
    <w:rsid w:val="002F35DC"/>
    <w:rsid w:val="002F56DD"/>
    <w:rsid w:val="002F5E6C"/>
    <w:rsid w:val="002F6CE5"/>
    <w:rsid w:val="002F6E6B"/>
    <w:rsid w:val="002F7070"/>
    <w:rsid w:val="002F7CDD"/>
    <w:rsid w:val="0030018C"/>
    <w:rsid w:val="00300D9E"/>
    <w:rsid w:val="0030201A"/>
    <w:rsid w:val="00302674"/>
    <w:rsid w:val="00302C0A"/>
    <w:rsid w:val="00303724"/>
    <w:rsid w:val="00304EFB"/>
    <w:rsid w:val="003051CC"/>
    <w:rsid w:val="0030522A"/>
    <w:rsid w:val="0030533C"/>
    <w:rsid w:val="003066F4"/>
    <w:rsid w:val="00306B7E"/>
    <w:rsid w:val="003076FC"/>
    <w:rsid w:val="00307981"/>
    <w:rsid w:val="00307CF0"/>
    <w:rsid w:val="00310AAC"/>
    <w:rsid w:val="00311D97"/>
    <w:rsid w:val="00312597"/>
    <w:rsid w:val="003139A4"/>
    <w:rsid w:val="003141DF"/>
    <w:rsid w:val="00315F46"/>
    <w:rsid w:val="003162E3"/>
    <w:rsid w:val="0031751C"/>
    <w:rsid w:val="00321AA3"/>
    <w:rsid w:val="00326699"/>
    <w:rsid w:val="00326734"/>
    <w:rsid w:val="0033173E"/>
    <w:rsid w:val="00331B8E"/>
    <w:rsid w:val="0033207E"/>
    <w:rsid w:val="00333036"/>
    <w:rsid w:val="003331DA"/>
    <w:rsid w:val="00333A9E"/>
    <w:rsid w:val="00334334"/>
    <w:rsid w:val="0033448F"/>
    <w:rsid w:val="00334CF1"/>
    <w:rsid w:val="00335F89"/>
    <w:rsid w:val="003410F2"/>
    <w:rsid w:val="003412ED"/>
    <w:rsid w:val="00341585"/>
    <w:rsid w:val="00342938"/>
    <w:rsid w:val="00343A99"/>
    <w:rsid w:val="00343F24"/>
    <w:rsid w:val="00344C56"/>
    <w:rsid w:val="00344FB2"/>
    <w:rsid w:val="003462AF"/>
    <w:rsid w:val="003477DF"/>
    <w:rsid w:val="00350DC8"/>
    <w:rsid w:val="003522AE"/>
    <w:rsid w:val="00353D56"/>
    <w:rsid w:val="0035475B"/>
    <w:rsid w:val="003554B8"/>
    <w:rsid w:val="00355575"/>
    <w:rsid w:val="003555BF"/>
    <w:rsid w:val="0035586B"/>
    <w:rsid w:val="00356286"/>
    <w:rsid w:val="0036223B"/>
    <w:rsid w:val="0036252A"/>
    <w:rsid w:val="00362C3B"/>
    <w:rsid w:val="003646BF"/>
    <w:rsid w:val="00364D9D"/>
    <w:rsid w:val="003668AB"/>
    <w:rsid w:val="00367211"/>
    <w:rsid w:val="00371603"/>
    <w:rsid w:val="0037223B"/>
    <w:rsid w:val="003735B9"/>
    <w:rsid w:val="003737A8"/>
    <w:rsid w:val="0037461E"/>
    <w:rsid w:val="00374748"/>
    <w:rsid w:val="00382AE3"/>
    <w:rsid w:val="00383338"/>
    <w:rsid w:val="00383906"/>
    <w:rsid w:val="00383DA1"/>
    <w:rsid w:val="00387E90"/>
    <w:rsid w:val="003912B4"/>
    <w:rsid w:val="0039160C"/>
    <w:rsid w:val="00392007"/>
    <w:rsid w:val="00394F3C"/>
    <w:rsid w:val="0039660F"/>
    <w:rsid w:val="0039741E"/>
    <w:rsid w:val="0039744C"/>
    <w:rsid w:val="00397C46"/>
    <w:rsid w:val="003A06C8"/>
    <w:rsid w:val="003A0D7C"/>
    <w:rsid w:val="003A0F2D"/>
    <w:rsid w:val="003A1E73"/>
    <w:rsid w:val="003A2EC4"/>
    <w:rsid w:val="003A32D7"/>
    <w:rsid w:val="003A4CC1"/>
    <w:rsid w:val="003A53AF"/>
    <w:rsid w:val="003A65E8"/>
    <w:rsid w:val="003A667A"/>
    <w:rsid w:val="003A74F5"/>
    <w:rsid w:val="003A7AFA"/>
    <w:rsid w:val="003A7CA6"/>
    <w:rsid w:val="003B08F4"/>
    <w:rsid w:val="003B40BE"/>
    <w:rsid w:val="003B4CB4"/>
    <w:rsid w:val="003B4ED2"/>
    <w:rsid w:val="003B518B"/>
    <w:rsid w:val="003B58E3"/>
    <w:rsid w:val="003B7612"/>
    <w:rsid w:val="003B7EE7"/>
    <w:rsid w:val="003C18C0"/>
    <w:rsid w:val="003C4183"/>
    <w:rsid w:val="003C53D6"/>
    <w:rsid w:val="003C6ADC"/>
    <w:rsid w:val="003C6FDC"/>
    <w:rsid w:val="003C7467"/>
    <w:rsid w:val="003D1F17"/>
    <w:rsid w:val="003D244F"/>
    <w:rsid w:val="003D39EC"/>
    <w:rsid w:val="003D3E27"/>
    <w:rsid w:val="003D53B3"/>
    <w:rsid w:val="003D5452"/>
    <w:rsid w:val="003D606F"/>
    <w:rsid w:val="003D6943"/>
    <w:rsid w:val="003D78F6"/>
    <w:rsid w:val="003E0062"/>
    <w:rsid w:val="003E0D8B"/>
    <w:rsid w:val="003E0DD1"/>
    <w:rsid w:val="003E3955"/>
    <w:rsid w:val="003E3DD5"/>
    <w:rsid w:val="003E537A"/>
    <w:rsid w:val="003E55D6"/>
    <w:rsid w:val="003E6FCE"/>
    <w:rsid w:val="003E713E"/>
    <w:rsid w:val="003E7BF8"/>
    <w:rsid w:val="003E7ECF"/>
    <w:rsid w:val="003F0833"/>
    <w:rsid w:val="003F0B8C"/>
    <w:rsid w:val="003F17A2"/>
    <w:rsid w:val="003F1ECD"/>
    <w:rsid w:val="003F26FC"/>
    <w:rsid w:val="003F350F"/>
    <w:rsid w:val="003F44B7"/>
    <w:rsid w:val="003F62E3"/>
    <w:rsid w:val="003F75A0"/>
    <w:rsid w:val="00400F1C"/>
    <w:rsid w:val="004021D0"/>
    <w:rsid w:val="0040306E"/>
    <w:rsid w:val="004030D8"/>
    <w:rsid w:val="0040324A"/>
    <w:rsid w:val="00404B4E"/>
    <w:rsid w:val="00405BB4"/>
    <w:rsid w:val="00406AF7"/>
    <w:rsid w:val="00406BED"/>
    <w:rsid w:val="004075F2"/>
    <w:rsid w:val="00410DE8"/>
    <w:rsid w:val="00411100"/>
    <w:rsid w:val="004111DA"/>
    <w:rsid w:val="00413D48"/>
    <w:rsid w:val="00414ACD"/>
    <w:rsid w:val="004163ED"/>
    <w:rsid w:val="00416EA3"/>
    <w:rsid w:val="004171C3"/>
    <w:rsid w:val="0041750A"/>
    <w:rsid w:val="004213B0"/>
    <w:rsid w:val="00421F2D"/>
    <w:rsid w:val="00422424"/>
    <w:rsid w:val="00422948"/>
    <w:rsid w:val="00422FEE"/>
    <w:rsid w:val="0042354D"/>
    <w:rsid w:val="0042527F"/>
    <w:rsid w:val="004265EA"/>
    <w:rsid w:val="0042718E"/>
    <w:rsid w:val="00430CBE"/>
    <w:rsid w:val="00433165"/>
    <w:rsid w:val="0043696E"/>
    <w:rsid w:val="004374FA"/>
    <w:rsid w:val="00440291"/>
    <w:rsid w:val="004409FF"/>
    <w:rsid w:val="00441AC2"/>
    <w:rsid w:val="004425A0"/>
    <w:rsid w:val="00442DBA"/>
    <w:rsid w:val="00444592"/>
    <w:rsid w:val="00445FEE"/>
    <w:rsid w:val="004466A5"/>
    <w:rsid w:val="0044678E"/>
    <w:rsid w:val="004469C1"/>
    <w:rsid w:val="00447E60"/>
    <w:rsid w:val="0045061E"/>
    <w:rsid w:val="00450FC3"/>
    <w:rsid w:val="004510AC"/>
    <w:rsid w:val="00451447"/>
    <w:rsid w:val="004520E4"/>
    <w:rsid w:val="004528F1"/>
    <w:rsid w:val="00452925"/>
    <w:rsid w:val="00452BCD"/>
    <w:rsid w:val="00453A1E"/>
    <w:rsid w:val="004543E6"/>
    <w:rsid w:val="00454EC1"/>
    <w:rsid w:val="0045505E"/>
    <w:rsid w:val="00456A79"/>
    <w:rsid w:val="00456B63"/>
    <w:rsid w:val="00456C9B"/>
    <w:rsid w:val="0046002C"/>
    <w:rsid w:val="0046022F"/>
    <w:rsid w:val="00460E7F"/>
    <w:rsid w:val="0046218D"/>
    <w:rsid w:val="00462935"/>
    <w:rsid w:val="0046354F"/>
    <w:rsid w:val="00463F08"/>
    <w:rsid w:val="00463FDE"/>
    <w:rsid w:val="0046457D"/>
    <w:rsid w:val="004655AB"/>
    <w:rsid w:val="004659CD"/>
    <w:rsid w:val="00467298"/>
    <w:rsid w:val="004677F6"/>
    <w:rsid w:val="00467D2E"/>
    <w:rsid w:val="00470236"/>
    <w:rsid w:val="00470830"/>
    <w:rsid w:val="00471F9E"/>
    <w:rsid w:val="004722C6"/>
    <w:rsid w:val="004726E9"/>
    <w:rsid w:val="00473B74"/>
    <w:rsid w:val="00475650"/>
    <w:rsid w:val="00476808"/>
    <w:rsid w:val="00476C91"/>
    <w:rsid w:val="00477427"/>
    <w:rsid w:val="0048181B"/>
    <w:rsid w:val="004820A2"/>
    <w:rsid w:val="00483F0B"/>
    <w:rsid w:val="00484913"/>
    <w:rsid w:val="00486000"/>
    <w:rsid w:val="004867E2"/>
    <w:rsid w:val="00487527"/>
    <w:rsid w:val="0048762E"/>
    <w:rsid w:val="0049164E"/>
    <w:rsid w:val="00492A5E"/>
    <w:rsid w:val="00493FB1"/>
    <w:rsid w:val="004956ED"/>
    <w:rsid w:val="0049733E"/>
    <w:rsid w:val="004A05EB"/>
    <w:rsid w:val="004A1ABC"/>
    <w:rsid w:val="004A502F"/>
    <w:rsid w:val="004A5672"/>
    <w:rsid w:val="004A5F55"/>
    <w:rsid w:val="004A7BAF"/>
    <w:rsid w:val="004B02EC"/>
    <w:rsid w:val="004B2089"/>
    <w:rsid w:val="004B30C6"/>
    <w:rsid w:val="004B3BB8"/>
    <w:rsid w:val="004B5465"/>
    <w:rsid w:val="004B68F5"/>
    <w:rsid w:val="004B7506"/>
    <w:rsid w:val="004C0099"/>
    <w:rsid w:val="004C1744"/>
    <w:rsid w:val="004C4242"/>
    <w:rsid w:val="004C6647"/>
    <w:rsid w:val="004C77E8"/>
    <w:rsid w:val="004C7FE0"/>
    <w:rsid w:val="004D07B2"/>
    <w:rsid w:val="004D106D"/>
    <w:rsid w:val="004D1C3B"/>
    <w:rsid w:val="004D2E94"/>
    <w:rsid w:val="004D372F"/>
    <w:rsid w:val="004D403F"/>
    <w:rsid w:val="004D4757"/>
    <w:rsid w:val="004D5643"/>
    <w:rsid w:val="004D5FC0"/>
    <w:rsid w:val="004D6440"/>
    <w:rsid w:val="004E022E"/>
    <w:rsid w:val="004E13BE"/>
    <w:rsid w:val="004E271E"/>
    <w:rsid w:val="004E32F0"/>
    <w:rsid w:val="004E403F"/>
    <w:rsid w:val="004E49E5"/>
    <w:rsid w:val="004E4EE9"/>
    <w:rsid w:val="004E60C0"/>
    <w:rsid w:val="004E6F7B"/>
    <w:rsid w:val="004E7715"/>
    <w:rsid w:val="004F029E"/>
    <w:rsid w:val="004F0C0A"/>
    <w:rsid w:val="004F252B"/>
    <w:rsid w:val="004F2BA7"/>
    <w:rsid w:val="004F391C"/>
    <w:rsid w:val="004F3C83"/>
    <w:rsid w:val="004F4285"/>
    <w:rsid w:val="004F5098"/>
    <w:rsid w:val="004F638F"/>
    <w:rsid w:val="004F680B"/>
    <w:rsid w:val="004F6950"/>
    <w:rsid w:val="004F7F9B"/>
    <w:rsid w:val="005010A1"/>
    <w:rsid w:val="00502AF4"/>
    <w:rsid w:val="00504887"/>
    <w:rsid w:val="00504E39"/>
    <w:rsid w:val="00504EC6"/>
    <w:rsid w:val="005059B4"/>
    <w:rsid w:val="00505E80"/>
    <w:rsid w:val="005079E1"/>
    <w:rsid w:val="00507B8D"/>
    <w:rsid w:val="00510633"/>
    <w:rsid w:val="0051087F"/>
    <w:rsid w:val="00512A53"/>
    <w:rsid w:val="00513024"/>
    <w:rsid w:val="00514729"/>
    <w:rsid w:val="005150FC"/>
    <w:rsid w:val="00516022"/>
    <w:rsid w:val="005166D1"/>
    <w:rsid w:val="00521CEE"/>
    <w:rsid w:val="00523F8B"/>
    <w:rsid w:val="00524D65"/>
    <w:rsid w:val="00526E66"/>
    <w:rsid w:val="00526EC4"/>
    <w:rsid w:val="00530233"/>
    <w:rsid w:val="00530DD8"/>
    <w:rsid w:val="00532172"/>
    <w:rsid w:val="00532596"/>
    <w:rsid w:val="005345F4"/>
    <w:rsid w:val="00534880"/>
    <w:rsid w:val="0053789D"/>
    <w:rsid w:val="00537BD2"/>
    <w:rsid w:val="00537DB3"/>
    <w:rsid w:val="005415F2"/>
    <w:rsid w:val="005452CC"/>
    <w:rsid w:val="005466EF"/>
    <w:rsid w:val="005469CE"/>
    <w:rsid w:val="005477C5"/>
    <w:rsid w:val="00547CB3"/>
    <w:rsid w:val="005505A1"/>
    <w:rsid w:val="005506A2"/>
    <w:rsid w:val="005509D7"/>
    <w:rsid w:val="005514B5"/>
    <w:rsid w:val="00551FA5"/>
    <w:rsid w:val="005530A7"/>
    <w:rsid w:val="00553F58"/>
    <w:rsid w:val="005546E2"/>
    <w:rsid w:val="00554727"/>
    <w:rsid w:val="005553AD"/>
    <w:rsid w:val="005557A8"/>
    <w:rsid w:val="00556D2C"/>
    <w:rsid w:val="0055776D"/>
    <w:rsid w:val="00557C1A"/>
    <w:rsid w:val="00561037"/>
    <w:rsid w:val="005624A7"/>
    <w:rsid w:val="00562ED1"/>
    <w:rsid w:val="0056454C"/>
    <w:rsid w:val="005652E2"/>
    <w:rsid w:val="00573041"/>
    <w:rsid w:val="0057402A"/>
    <w:rsid w:val="005749A5"/>
    <w:rsid w:val="0057709B"/>
    <w:rsid w:val="00577185"/>
    <w:rsid w:val="0057732A"/>
    <w:rsid w:val="005778C6"/>
    <w:rsid w:val="00582942"/>
    <w:rsid w:val="00584568"/>
    <w:rsid w:val="005859A8"/>
    <w:rsid w:val="00585B4C"/>
    <w:rsid w:val="00586B96"/>
    <w:rsid w:val="00587797"/>
    <w:rsid w:val="00587AA5"/>
    <w:rsid w:val="005903FB"/>
    <w:rsid w:val="005906F3"/>
    <w:rsid w:val="00591869"/>
    <w:rsid w:val="00593255"/>
    <w:rsid w:val="005936CB"/>
    <w:rsid w:val="00593B69"/>
    <w:rsid w:val="005943F9"/>
    <w:rsid w:val="0059530B"/>
    <w:rsid w:val="0059680A"/>
    <w:rsid w:val="005968D8"/>
    <w:rsid w:val="005969E9"/>
    <w:rsid w:val="00597477"/>
    <w:rsid w:val="005A03A3"/>
    <w:rsid w:val="005A0482"/>
    <w:rsid w:val="005A1D89"/>
    <w:rsid w:val="005A463A"/>
    <w:rsid w:val="005A6ADB"/>
    <w:rsid w:val="005A79E3"/>
    <w:rsid w:val="005B0ADD"/>
    <w:rsid w:val="005B118A"/>
    <w:rsid w:val="005B1F7A"/>
    <w:rsid w:val="005B36E0"/>
    <w:rsid w:val="005B4F97"/>
    <w:rsid w:val="005B6A16"/>
    <w:rsid w:val="005B6CCA"/>
    <w:rsid w:val="005B77E3"/>
    <w:rsid w:val="005C164B"/>
    <w:rsid w:val="005C1A3A"/>
    <w:rsid w:val="005C22DD"/>
    <w:rsid w:val="005C3FE0"/>
    <w:rsid w:val="005C400C"/>
    <w:rsid w:val="005C4A83"/>
    <w:rsid w:val="005C7308"/>
    <w:rsid w:val="005C740C"/>
    <w:rsid w:val="005C79BA"/>
    <w:rsid w:val="005D0300"/>
    <w:rsid w:val="005D063A"/>
    <w:rsid w:val="005D163C"/>
    <w:rsid w:val="005D1E27"/>
    <w:rsid w:val="005D2135"/>
    <w:rsid w:val="005D3322"/>
    <w:rsid w:val="005D4EE6"/>
    <w:rsid w:val="005D667E"/>
    <w:rsid w:val="005D6886"/>
    <w:rsid w:val="005D6F98"/>
    <w:rsid w:val="005E0FBA"/>
    <w:rsid w:val="005E17A4"/>
    <w:rsid w:val="005E25D4"/>
    <w:rsid w:val="005E38D9"/>
    <w:rsid w:val="005E5A41"/>
    <w:rsid w:val="005E6236"/>
    <w:rsid w:val="005F0E31"/>
    <w:rsid w:val="005F23DB"/>
    <w:rsid w:val="005F2F08"/>
    <w:rsid w:val="005F3C85"/>
    <w:rsid w:val="005F3FB6"/>
    <w:rsid w:val="005F431D"/>
    <w:rsid w:val="005F4333"/>
    <w:rsid w:val="005F4FE7"/>
    <w:rsid w:val="005F55C9"/>
    <w:rsid w:val="005F5BF3"/>
    <w:rsid w:val="005F7B58"/>
    <w:rsid w:val="00600028"/>
    <w:rsid w:val="00600777"/>
    <w:rsid w:val="0060167A"/>
    <w:rsid w:val="00602145"/>
    <w:rsid w:val="00604859"/>
    <w:rsid w:val="006048F4"/>
    <w:rsid w:val="00604F46"/>
    <w:rsid w:val="006064E1"/>
    <w:rsid w:val="0060660A"/>
    <w:rsid w:val="00610AAA"/>
    <w:rsid w:val="00611CB0"/>
    <w:rsid w:val="00612294"/>
    <w:rsid w:val="006123B1"/>
    <w:rsid w:val="00613336"/>
    <w:rsid w:val="00613D07"/>
    <w:rsid w:val="006144B7"/>
    <w:rsid w:val="0061509D"/>
    <w:rsid w:val="006150B7"/>
    <w:rsid w:val="006154C6"/>
    <w:rsid w:val="00615DAA"/>
    <w:rsid w:val="00617313"/>
    <w:rsid w:val="00617A44"/>
    <w:rsid w:val="00621767"/>
    <w:rsid w:val="0062247B"/>
    <w:rsid w:val="006228F2"/>
    <w:rsid w:val="00624ECC"/>
    <w:rsid w:val="00625961"/>
    <w:rsid w:val="00625CD0"/>
    <w:rsid w:val="00625EB1"/>
    <w:rsid w:val="006271BD"/>
    <w:rsid w:val="006316B8"/>
    <w:rsid w:val="00631889"/>
    <w:rsid w:val="00632896"/>
    <w:rsid w:val="006329A1"/>
    <w:rsid w:val="00633D2B"/>
    <w:rsid w:val="00633DBC"/>
    <w:rsid w:val="00634A3C"/>
    <w:rsid w:val="0063519B"/>
    <w:rsid w:val="00635D1D"/>
    <w:rsid w:val="00635DE3"/>
    <w:rsid w:val="00635E51"/>
    <w:rsid w:val="00636AFD"/>
    <w:rsid w:val="006375B8"/>
    <w:rsid w:val="006429ED"/>
    <w:rsid w:val="00643AAF"/>
    <w:rsid w:val="00645EC4"/>
    <w:rsid w:val="006469F6"/>
    <w:rsid w:val="00646E47"/>
    <w:rsid w:val="00646F3C"/>
    <w:rsid w:val="00651441"/>
    <w:rsid w:val="00651DC0"/>
    <w:rsid w:val="006522A0"/>
    <w:rsid w:val="0065281C"/>
    <w:rsid w:val="00655359"/>
    <w:rsid w:val="006565D2"/>
    <w:rsid w:val="006569DB"/>
    <w:rsid w:val="00656C96"/>
    <w:rsid w:val="00657247"/>
    <w:rsid w:val="006614C4"/>
    <w:rsid w:val="00661591"/>
    <w:rsid w:val="00662125"/>
    <w:rsid w:val="0066270D"/>
    <w:rsid w:val="00663E9A"/>
    <w:rsid w:val="006647A1"/>
    <w:rsid w:val="0066632F"/>
    <w:rsid w:val="006665E1"/>
    <w:rsid w:val="00667BAB"/>
    <w:rsid w:val="00670242"/>
    <w:rsid w:val="0067057E"/>
    <w:rsid w:val="00670DD3"/>
    <w:rsid w:val="006711DA"/>
    <w:rsid w:val="00671876"/>
    <w:rsid w:val="0067329B"/>
    <w:rsid w:val="00673451"/>
    <w:rsid w:val="006737DE"/>
    <w:rsid w:val="00673BD8"/>
    <w:rsid w:val="00674C14"/>
    <w:rsid w:val="00677F9B"/>
    <w:rsid w:val="0068182A"/>
    <w:rsid w:val="00681B2D"/>
    <w:rsid w:val="006829CE"/>
    <w:rsid w:val="00683480"/>
    <w:rsid w:val="00687998"/>
    <w:rsid w:val="0069047B"/>
    <w:rsid w:val="00690DCA"/>
    <w:rsid w:val="00691046"/>
    <w:rsid w:val="00692272"/>
    <w:rsid w:val="00692E7B"/>
    <w:rsid w:val="0069317D"/>
    <w:rsid w:val="006935AB"/>
    <w:rsid w:val="006956A1"/>
    <w:rsid w:val="00696BA7"/>
    <w:rsid w:val="0069702B"/>
    <w:rsid w:val="00697644"/>
    <w:rsid w:val="006A03A3"/>
    <w:rsid w:val="006A1905"/>
    <w:rsid w:val="006A3362"/>
    <w:rsid w:val="006A4A26"/>
    <w:rsid w:val="006A4DB5"/>
    <w:rsid w:val="006A4E05"/>
    <w:rsid w:val="006A52D6"/>
    <w:rsid w:val="006A670C"/>
    <w:rsid w:val="006A6FA2"/>
    <w:rsid w:val="006A73B3"/>
    <w:rsid w:val="006A78DD"/>
    <w:rsid w:val="006B021E"/>
    <w:rsid w:val="006B03AF"/>
    <w:rsid w:val="006B0A3C"/>
    <w:rsid w:val="006B0D67"/>
    <w:rsid w:val="006B1463"/>
    <w:rsid w:val="006B2292"/>
    <w:rsid w:val="006B329D"/>
    <w:rsid w:val="006B3A5E"/>
    <w:rsid w:val="006B4214"/>
    <w:rsid w:val="006C114E"/>
    <w:rsid w:val="006C1EB0"/>
    <w:rsid w:val="006C2535"/>
    <w:rsid w:val="006C3A41"/>
    <w:rsid w:val="006C5413"/>
    <w:rsid w:val="006C58CD"/>
    <w:rsid w:val="006C65A1"/>
    <w:rsid w:val="006C65B5"/>
    <w:rsid w:val="006C6C62"/>
    <w:rsid w:val="006C7CA9"/>
    <w:rsid w:val="006D3256"/>
    <w:rsid w:val="006D48A0"/>
    <w:rsid w:val="006D4B0D"/>
    <w:rsid w:val="006D5DC2"/>
    <w:rsid w:val="006D60B4"/>
    <w:rsid w:val="006D75E1"/>
    <w:rsid w:val="006D7F64"/>
    <w:rsid w:val="006E1034"/>
    <w:rsid w:val="006E2006"/>
    <w:rsid w:val="006E263E"/>
    <w:rsid w:val="006E2B05"/>
    <w:rsid w:val="006E3042"/>
    <w:rsid w:val="006E3546"/>
    <w:rsid w:val="006E365A"/>
    <w:rsid w:val="006E38C3"/>
    <w:rsid w:val="006E4D97"/>
    <w:rsid w:val="006E5D07"/>
    <w:rsid w:val="006E6DB3"/>
    <w:rsid w:val="006E7216"/>
    <w:rsid w:val="006F01F3"/>
    <w:rsid w:val="006F0F93"/>
    <w:rsid w:val="006F17B6"/>
    <w:rsid w:val="006F20CD"/>
    <w:rsid w:val="006F33F9"/>
    <w:rsid w:val="006F35FA"/>
    <w:rsid w:val="0070239E"/>
    <w:rsid w:val="00703AEF"/>
    <w:rsid w:val="00703DA2"/>
    <w:rsid w:val="007040CD"/>
    <w:rsid w:val="00704CCA"/>
    <w:rsid w:val="0070543F"/>
    <w:rsid w:val="00705BC0"/>
    <w:rsid w:val="00705C87"/>
    <w:rsid w:val="00707E10"/>
    <w:rsid w:val="00707EA6"/>
    <w:rsid w:val="00710978"/>
    <w:rsid w:val="00713044"/>
    <w:rsid w:val="00713F74"/>
    <w:rsid w:val="007142A9"/>
    <w:rsid w:val="007146F0"/>
    <w:rsid w:val="00714C30"/>
    <w:rsid w:val="00715237"/>
    <w:rsid w:val="00715F39"/>
    <w:rsid w:val="00716449"/>
    <w:rsid w:val="00716F76"/>
    <w:rsid w:val="00720573"/>
    <w:rsid w:val="0072120E"/>
    <w:rsid w:val="00722293"/>
    <w:rsid w:val="00722F4B"/>
    <w:rsid w:val="007230FA"/>
    <w:rsid w:val="007232EC"/>
    <w:rsid w:val="00724101"/>
    <w:rsid w:val="007250F0"/>
    <w:rsid w:val="007254A5"/>
    <w:rsid w:val="00725748"/>
    <w:rsid w:val="00726368"/>
    <w:rsid w:val="0073028B"/>
    <w:rsid w:val="00730D14"/>
    <w:rsid w:val="007324DF"/>
    <w:rsid w:val="00733B33"/>
    <w:rsid w:val="00734374"/>
    <w:rsid w:val="00735496"/>
    <w:rsid w:val="00736D0D"/>
    <w:rsid w:val="0073720D"/>
    <w:rsid w:val="007402E0"/>
    <w:rsid w:val="007418AE"/>
    <w:rsid w:val="00742AB9"/>
    <w:rsid w:val="00743337"/>
    <w:rsid w:val="00745016"/>
    <w:rsid w:val="00746658"/>
    <w:rsid w:val="00750A91"/>
    <w:rsid w:val="00751CF9"/>
    <w:rsid w:val="0075240B"/>
    <w:rsid w:val="0075368B"/>
    <w:rsid w:val="00754176"/>
    <w:rsid w:val="007542F7"/>
    <w:rsid w:val="00754666"/>
    <w:rsid w:val="00754FBF"/>
    <w:rsid w:val="00755248"/>
    <w:rsid w:val="00756754"/>
    <w:rsid w:val="00757005"/>
    <w:rsid w:val="0076016D"/>
    <w:rsid w:val="007606CE"/>
    <w:rsid w:val="00760C95"/>
    <w:rsid w:val="00763BB2"/>
    <w:rsid w:val="00763FFA"/>
    <w:rsid w:val="0076707D"/>
    <w:rsid w:val="0077029E"/>
    <w:rsid w:val="0077048E"/>
    <w:rsid w:val="00770864"/>
    <w:rsid w:val="007724AB"/>
    <w:rsid w:val="00772734"/>
    <w:rsid w:val="00774B22"/>
    <w:rsid w:val="00775344"/>
    <w:rsid w:val="00775D8A"/>
    <w:rsid w:val="0077737C"/>
    <w:rsid w:val="007777DF"/>
    <w:rsid w:val="00781BE3"/>
    <w:rsid w:val="00781CED"/>
    <w:rsid w:val="007831C7"/>
    <w:rsid w:val="00783559"/>
    <w:rsid w:val="00783B2B"/>
    <w:rsid w:val="00784816"/>
    <w:rsid w:val="0078554C"/>
    <w:rsid w:val="00785662"/>
    <w:rsid w:val="00785C26"/>
    <w:rsid w:val="00785F18"/>
    <w:rsid w:val="00786645"/>
    <w:rsid w:val="00786698"/>
    <w:rsid w:val="007879DB"/>
    <w:rsid w:val="0079029D"/>
    <w:rsid w:val="00792AB2"/>
    <w:rsid w:val="007A149B"/>
    <w:rsid w:val="007A1E03"/>
    <w:rsid w:val="007A2AC8"/>
    <w:rsid w:val="007A3BEE"/>
    <w:rsid w:val="007A4105"/>
    <w:rsid w:val="007A474C"/>
    <w:rsid w:val="007B0280"/>
    <w:rsid w:val="007B163C"/>
    <w:rsid w:val="007B1E03"/>
    <w:rsid w:val="007B2BC2"/>
    <w:rsid w:val="007B54BC"/>
    <w:rsid w:val="007B6E9D"/>
    <w:rsid w:val="007C0CE8"/>
    <w:rsid w:val="007C3674"/>
    <w:rsid w:val="007C406E"/>
    <w:rsid w:val="007C49D7"/>
    <w:rsid w:val="007C5824"/>
    <w:rsid w:val="007C6498"/>
    <w:rsid w:val="007C66A9"/>
    <w:rsid w:val="007C6F63"/>
    <w:rsid w:val="007C7F09"/>
    <w:rsid w:val="007D08AB"/>
    <w:rsid w:val="007D0AC3"/>
    <w:rsid w:val="007D1AD7"/>
    <w:rsid w:val="007D25B4"/>
    <w:rsid w:val="007D2761"/>
    <w:rsid w:val="007D2C22"/>
    <w:rsid w:val="007D5658"/>
    <w:rsid w:val="007D64FD"/>
    <w:rsid w:val="007D6565"/>
    <w:rsid w:val="007E1149"/>
    <w:rsid w:val="007E2C0D"/>
    <w:rsid w:val="007E33F7"/>
    <w:rsid w:val="007E435C"/>
    <w:rsid w:val="007E4EF3"/>
    <w:rsid w:val="007E4EF9"/>
    <w:rsid w:val="007E6BE6"/>
    <w:rsid w:val="007F091B"/>
    <w:rsid w:val="007F100C"/>
    <w:rsid w:val="007F1982"/>
    <w:rsid w:val="007F3579"/>
    <w:rsid w:val="007F3FD0"/>
    <w:rsid w:val="007F428E"/>
    <w:rsid w:val="007F4CE1"/>
    <w:rsid w:val="007F6444"/>
    <w:rsid w:val="007F74ED"/>
    <w:rsid w:val="0080096E"/>
    <w:rsid w:val="00800A9B"/>
    <w:rsid w:val="0080389D"/>
    <w:rsid w:val="008050E6"/>
    <w:rsid w:val="00806B95"/>
    <w:rsid w:val="00807805"/>
    <w:rsid w:val="0081075C"/>
    <w:rsid w:val="00810CFA"/>
    <w:rsid w:val="00811392"/>
    <w:rsid w:val="00812028"/>
    <w:rsid w:val="00812A40"/>
    <w:rsid w:val="00814D03"/>
    <w:rsid w:val="0081537D"/>
    <w:rsid w:val="00816074"/>
    <w:rsid w:val="00820F4D"/>
    <w:rsid w:val="00824629"/>
    <w:rsid w:val="00824732"/>
    <w:rsid w:val="008261EC"/>
    <w:rsid w:val="00827E70"/>
    <w:rsid w:val="00831366"/>
    <w:rsid w:val="0083178B"/>
    <w:rsid w:val="00831D63"/>
    <w:rsid w:val="00833695"/>
    <w:rsid w:val="00834B59"/>
    <w:rsid w:val="00834F99"/>
    <w:rsid w:val="008364EF"/>
    <w:rsid w:val="0083750B"/>
    <w:rsid w:val="0083752E"/>
    <w:rsid w:val="0083788B"/>
    <w:rsid w:val="00837C66"/>
    <w:rsid w:val="008407B5"/>
    <w:rsid w:val="008409AE"/>
    <w:rsid w:val="00842A21"/>
    <w:rsid w:val="00842B64"/>
    <w:rsid w:val="00842CD8"/>
    <w:rsid w:val="008435CC"/>
    <w:rsid w:val="0084449E"/>
    <w:rsid w:val="008502F4"/>
    <w:rsid w:val="008517DE"/>
    <w:rsid w:val="00851BC3"/>
    <w:rsid w:val="008520D8"/>
    <w:rsid w:val="008525B2"/>
    <w:rsid w:val="00852A88"/>
    <w:rsid w:val="008530B2"/>
    <w:rsid w:val="00854961"/>
    <w:rsid w:val="00855234"/>
    <w:rsid w:val="008553C7"/>
    <w:rsid w:val="00857770"/>
    <w:rsid w:val="00857FEB"/>
    <w:rsid w:val="00860B95"/>
    <w:rsid w:val="008616E0"/>
    <w:rsid w:val="00862050"/>
    <w:rsid w:val="008624AD"/>
    <w:rsid w:val="008624F0"/>
    <w:rsid w:val="008646B0"/>
    <w:rsid w:val="00864B45"/>
    <w:rsid w:val="00865800"/>
    <w:rsid w:val="008666D2"/>
    <w:rsid w:val="008708D4"/>
    <w:rsid w:val="00871B05"/>
    <w:rsid w:val="008720EB"/>
    <w:rsid w:val="008735BA"/>
    <w:rsid w:val="0087387D"/>
    <w:rsid w:val="00873E5C"/>
    <w:rsid w:val="00875399"/>
    <w:rsid w:val="008753FC"/>
    <w:rsid w:val="008777AA"/>
    <w:rsid w:val="008802A6"/>
    <w:rsid w:val="00880A18"/>
    <w:rsid w:val="00880A2A"/>
    <w:rsid w:val="008812FB"/>
    <w:rsid w:val="00881881"/>
    <w:rsid w:val="00882814"/>
    <w:rsid w:val="00884FE3"/>
    <w:rsid w:val="00885FBB"/>
    <w:rsid w:val="00886549"/>
    <w:rsid w:val="00886E97"/>
    <w:rsid w:val="00891692"/>
    <w:rsid w:val="00892002"/>
    <w:rsid w:val="0089236F"/>
    <w:rsid w:val="00892874"/>
    <w:rsid w:val="008934AE"/>
    <w:rsid w:val="008934E6"/>
    <w:rsid w:val="008936BD"/>
    <w:rsid w:val="008965F7"/>
    <w:rsid w:val="0089797E"/>
    <w:rsid w:val="008A3AAB"/>
    <w:rsid w:val="008A3BED"/>
    <w:rsid w:val="008A3E5B"/>
    <w:rsid w:val="008A4520"/>
    <w:rsid w:val="008A46A9"/>
    <w:rsid w:val="008A4A7F"/>
    <w:rsid w:val="008A5172"/>
    <w:rsid w:val="008A5A3F"/>
    <w:rsid w:val="008A646F"/>
    <w:rsid w:val="008A702B"/>
    <w:rsid w:val="008A7174"/>
    <w:rsid w:val="008B161B"/>
    <w:rsid w:val="008B1BE5"/>
    <w:rsid w:val="008B378C"/>
    <w:rsid w:val="008B3929"/>
    <w:rsid w:val="008B3C2F"/>
    <w:rsid w:val="008B4118"/>
    <w:rsid w:val="008B4208"/>
    <w:rsid w:val="008B4244"/>
    <w:rsid w:val="008B45D6"/>
    <w:rsid w:val="008B4CB3"/>
    <w:rsid w:val="008B54B2"/>
    <w:rsid w:val="008B6436"/>
    <w:rsid w:val="008B720C"/>
    <w:rsid w:val="008B72BF"/>
    <w:rsid w:val="008B731A"/>
    <w:rsid w:val="008C00EB"/>
    <w:rsid w:val="008C2425"/>
    <w:rsid w:val="008C2444"/>
    <w:rsid w:val="008C3F57"/>
    <w:rsid w:val="008C46FD"/>
    <w:rsid w:val="008C58A5"/>
    <w:rsid w:val="008C5B1C"/>
    <w:rsid w:val="008C67AF"/>
    <w:rsid w:val="008C78FD"/>
    <w:rsid w:val="008D0EBE"/>
    <w:rsid w:val="008D2355"/>
    <w:rsid w:val="008D2FA9"/>
    <w:rsid w:val="008D36C1"/>
    <w:rsid w:val="008D3C27"/>
    <w:rsid w:val="008D3CEA"/>
    <w:rsid w:val="008D3D49"/>
    <w:rsid w:val="008D5B01"/>
    <w:rsid w:val="008E2180"/>
    <w:rsid w:val="008E22BC"/>
    <w:rsid w:val="008E29B4"/>
    <w:rsid w:val="008E2FA9"/>
    <w:rsid w:val="008E35E2"/>
    <w:rsid w:val="008E3EEF"/>
    <w:rsid w:val="008E4B71"/>
    <w:rsid w:val="008E54B4"/>
    <w:rsid w:val="008E5F59"/>
    <w:rsid w:val="008E7AC3"/>
    <w:rsid w:val="008F0311"/>
    <w:rsid w:val="008F0C84"/>
    <w:rsid w:val="008F1B70"/>
    <w:rsid w:val="008F2143"/>
    <w:rsid w:val="008F22E9"/>
    <w:rsid w:val="008F4A8D"/>
    <w:rsid w:val="008F5E47"/>
    <w:rsid w:val="00900C34"/>
    <w:rsid w:val="00901121"/>
    <w:rsid w:val="00901CAE"/>
    <w:rsid w:val="00901DEF"/>
    <w:rsid w:val="00902FF2"/>
    <w:rsid w:val="00903B67"/>
    <w:rsid w:val="00905B6D"/>
    <w:rsid w:val="0090647C"/>
    <w:rsid w:val="0090651A"/>
    <w:rsid w:val="0091000A"/>
    <w:rsid w:val="00910642"/>
    <w:rsid w:val="009108AC"/>
    <w:rsid w:val="009135F7"/>
    <w:rsid w:val="00914A7A"/>
    <w:rsid w:val="009160BB"/>
    <w:rsid w:val="009166AD"/>
    <w:rsid w:val="009173C3"/>
    <w:rsid w:val="00917719"/>
    <w:rsid w:val="00917821"/>
    <w:rsid w:val="00917BAC"/>
    <w:rsid w:val="00920E8D"/>
    <w:rsid w:val="00921A22"/>
    <w:rsid w:val="009261C8"/>
    <w:rsid w:val="00926D7F"/>
    <w:rsid w:val="00927293"/>
    <w:rsid w:val="009311C8"/>
    <w:rsid w:val="00933376"/>
    <w:rsid w:val="009336FC"/>
    <w:rsid w:val="009339E6"/>
    <w:rsid w:val="00937CE6"/>
    <w:rsid w:val="00940C5F"/>
    <w:rsid w:val="00942355"/>
    <w:rsid w:val="0094320C"/>
    <w:rsid w:val="00943B97"/>
    <w:rsid w:val="00943F25"/>
    <w:rsid w:val="009447C8"/>
    <w:rsid w:val="00944F01"/>
    <w:rsid w:val="00945691"/>
    <w:rsid w:val="00945CF2"/>
    <w:rsid w:val="00946D29"/>
    <w:rsid w:val="0095050D"/>
    <w:rsid w:val="009513C2"/>
    <w:rsid w:val="0095259F"/>
    <w:rsid w:val="009534EF"/>
    <w:rsid w:val="0095352B"/>
    <w:rsid w:val="00955A7F"/>
    <w:rsid w:val="00955D15"/>
    <w:rsid w:val="0095748C"/>
    <w:rsid w:val="0096077C"/>
    <w:rsid w:val="00960EDC"/>
    <w:rsid w:val="0096143B"/>
    <w:rsid w:val="00961506"/>
    <w:rsid w:val="00961C28"/>
    <w:rsid w:val="00961FA7"/>
    <w:rsid w:val="009627A5"/>
    <w:rsid w:val="00962C56"/>
    <w:rsid w:val="00964BBF"/>
    <w:rsid w:val="00964F30"/>
    <w:rsid w:val="00965FD5"/>
    <w:rsid w:val="009668DE"/>
    <w:rsid w:val="00967101"/>
    <w:rsid w:val="00967346"/>
    <w:rsid w:val="00967751"/>
    <w:rsid w:val="009677D2"/>
    <w:rsid w:val="009711D9"/>
    <w:rsid w:val="009718F9"/>
    <w:rsid w:val="00972846"/>
    <w:rsid w:val="00975112"/>
    <w:rsid w:val="00975202"/>
    <w:rsid w:val="009753D7"/>
    <w:rsid w:val="00977002"/>
    <w:rsid w:val="009774C4"/>
    <w:rsid w:val="009811DF"/>
    <w:rsid w:val="009822B8"/>
    <w:rsid w:val="0098269A"/>
    <w:rsid w:val="00982B90"/>
    <w:rsid w:val="00982E82"/>
    <w:rsid w:val="00983333"/>
    <w:rsid w:val="00983A7C"/>
    <w:rsid w:val="00984D7B"/>
    <w:rsid w:val="0098687D"/>
    <w:rsid w:val="00991760"/>
    <w:rsid w:val="00991ACD"/>
    <w:rsid w:val="00991B5F"/>
    <w:rsid w:val="00991C2E"/>
    <w:rsid w:val="009937FA"/>
    <w:rsid w:val="00997999"/>
    <w:rsid w:val="009A0FF6"/>
    <w:rsid w:val="009A15FA"/>
    <w:rsid w:val="009A2647"/>
    <w:rsid w:val="009A342B"/>
    <w:rsid w:val="009A34B2"/>
    <w:rsid w:val="009A3B71"/>
    <w:rsid w:val="009A3CA0"/>
    <w:rsid w:val="009A4EA0"/>
    <w:rsid w:val="009A513F"/>
    <w:rsid w:val="009A542C"/>
    <w:rsid w:val="009A585F"/>
    <w:rsid w:val="009A61BC"/>
    <w:rsid w:val="009A6527"/>
    <w:rsid w:val="009A676D"/>
    <w:rsid w:val="009A727A"/>
    <w:rsid w:val="009B1466"/>
    <w:rsid w:val="009B168B"/>
    <w:rsid w:val="009B23D3"/>
    <w:rsid w:val="009B24B7"/>
    <w:rsid w:val="009B34DD"/>
    <w:rsid w:val="009B41E7"/>
    <w:rsid w:val="009B424D"/>
    <w:rsid w:val="009B57FB"/>
    <w:rsid w:val="009B673A"/>
    <w:rsid w:val="009B6E7D"/>
    <w:rsid w:val="009B7709"/>
    <w:rsid w:val="009B7B91"/>
    <w:rsid w:val="009C0DFA"/>
    <w:rsid w:val="009C1AC6"/>
    <w:rsid w:val="009C1C75"/>
    <w:rsid w:val="009C37AE"/>
    <w:rsid w:val="009C42BC"/>
    <w:rsid w:val="009C4AAC"/>
    <w:rsid w:val="009C4F04"/>
    <w:rsid w:val="009C692B"/>
    <w:rsid w:val="009D1723"/>
    <w:rsid w:val="009D277F"/>
    <w:rsid w:val="009D361B"/>
    <w:rsid w:val="009D7120"/>
    <w:rsid w:val="009D7DFA"/>
    <w:rsid w:val="009E042D"/>
    <w:rsid w:val="009E1556"/>
    <w:rsid w:val="009E1B8B"/>
    <w:rsid w:val="009E37E6"/>
    <w:rsid w:val="009E3B0E"/>
    <w:rsid w:val="009E4FB5"/>
    <w:rsid w:val="009E584D"/>
    <w:rsid w:val="009E6336"/>
    <w:rsid w:val="009E6427"/>
    <w:rsid w:val="009E71C1"/>
    <w:rsid w:val="009F3851"/>
    <w:rsid w:val="009F41C7"/>
    <w:rsid w:val="009F5CA4"/>
    <w:rsid w:val="009F615C"/>
    <w:rsid w:val="00A02980"/>
    <w:rsid w:val="00A04081"/>
    <w:rsid w:val="00A043B4"/>
    <w:rsid w:val="00A04DC0"/>
    <w:rsid w:val="00A06827"/>
    <w:rsid w:val="00A07737"/>
    <w:rsid w:val="00A07D00"/>
    <w:rsid w:val="00A10614"/>
    <w:rsid w:val="00A10E98"/>
    <w:rsid w:val="00A11768"/>
    <w:rsid w:val="00A12458"/>
    <w:rsid w:val="00A13499"/>
    <w:rsid w:val="00A140D0"/>
    <w:rsid w:val="00A149C1"/>
    <w:rsid w:val="00A14A93"/>
    <w:rsid w:val="00A16143"/>
    <w:rsid w:val="00A167EA"/>
    <w:rsid w:val="00A175FA"/>
    <w:rsid w:val="00A20CA1"/>
    <w:rsid w:val="00A2172A"/>
    <w:rsid w:val="00A21A93"/>
    <w:rsid w:val="00A21B3B"/>
    <w:rsid w:val="00A2455B"/>
    <w:rsid w:val="00A245B7"/>
    <w:rsid w:val="00A25405"/>
    <w:rsid w:val="00A25B4A"/>
    <w:rsid w:val="00A26D2B"/>
    <w:rsid w:val="00A27328"/>
    <w:rsid w:val="00A277F9"/>
    <w:rsid w:val="00A30E68"/>
    <w:rsid w:val="00A31885"/>
    <w:rsid w:val="00A31908"/>
    <w:rsid w:val="00A32278"/>
    <w:rsid w:val="00A33763"/>
    <w:rsid w:val="00A33E47"/>
    <w:rsid w:val="00A34AA0"/>
    <w:rsid w:val="00A35B30"/>
    <w:rsid w:val="00A35BEC"/>
    <w:rsid w:val="00A373C4"/>
    <w:rsid w:val="00A37B8E"/>
    <w:rsid w:val="00A41EFC"/>
    <w:rsid w:val="00A421B8"/>
    <w:rsid w:val="00A431F1"/>
    <w:rsid w:val="00A434F5"/>
    <w:rsid w:val="00A4371E"/>
    <w:rsid w:val="00A463FD"/>
    <w:rsid w:val="00A47733"/>
    <w:rsid w:val="00A50B58"/>
    <w:rsid w:val="00A511CD"/>
    <w:rsid w:val="00A5320C"/>
    <w:rsid w:val="00A54CA9"/>
    <w:rsid w:val="00A54D5A"/>
    <w:rsid w:val="00A5503F"/>
    <w:rsid w:val="00A551E6"/>
    <w:rsid w:val="00A56946"/>
    <w:rsid w:val="00A578D8"/>
    <w:rsid w:val="00A61759"/>
    <w:rsid w:val="00A63889"/>
    <w:rsid w:val="00A6421B"/>
    <w:rsid w:val="00A64A23"/>
    <w:rsid w:val="00A65FF9"/>
    <w:rsid w:val="00A70508"/>
    <w:rsid w:val="00A70E93"/>
    <w:rsid w:val="00A71964"/>
    <w:rsid w:val="00A71A15"/>
    <w:rsid w:val="00A725A5"/>
    <w:rsid w:val="00A7395A"/>
    <w:rsid w:val="00A74DEC"/>
    <w:rsid w:val="00A767D8"/>
    <w:rsid w:val="00A76D10"/>
    <w:rsid w:val="00A76DC7"/>
    <w:rsid w:val="00A76E69"/>
    <w:rsid w:val="00A77D7A"/>
    <w:rsid w:val="00A84B60"/>
    <w:rsid w:val="00A84E68"/>
    <w:rsid w:val="00A84F62"/>
    <w:rsid w:val="00A850C9"/>
    <w:rsid w:val="00A85526"/>
    <w:rsid w:val="00A8630D"/>
    <w:rsid w:val="00A87B30"/>
    <w:rsid w:val="00A87B6C"/>
    <w:rsid w:val="00A90510"/>
    <w:rsid w:val="00A908F9"/>
    <w:rsid w:val="00A91B1B"/>
    <w:rsid w:val="00A9351D"/>
    <w:rsid w:val="00A9474C"/>
    <w:rsid w:val="00A94A09"/>
    <w:rsid w:val="00A967EE"/>
    <w:rsid w:val="00A96A13"/>
    <w:rsid w:val="00AA2182"/>
    <w:rsid w:val="00AA3615"/>
    <w:rsid w:val="00AA4277"/>
    <w:rsid w:val="00AA4C2B"/>
    <w:rsid w:val="00AA4D58"/>
    <w:rsid w:val="00AA5B94"/>
    <w:rsid w:val="00AA6265"/>
    <w:rsid w:val="00AA62FE"/>
    <w:rsid w:val="00AB4880"/>
    <w:rsid w:val="00AB5963"/>
    <w:rsid w:val="00AB762B"/>
    <w:rsid w:val="00AB78E0"/>
    <w:rsid w:val="00AC0810"/>
    <w:rsid w:val="00AC0B3D"/>
    <w:rsid w:val="00AC1ED1"/>
    <w:rsid w:val="00AC211D"/>
    <w:rsid w:val="00AC339A"/>
    <w:rsid w:val="00AC3701"/>
    <w:rsid w:val="00AC49D8"/>
    <w:rsid w:val="00AC523C"/>
    <w:rsid w:val="00AC567F"/>
    <w:rsid w:val="00AC7A0F"/>
    <w:rsid w:val="00AC7EA9"/>
    <w:rsid w:val="00AD0CCB"/>
    <w:rsid w:val="00AD0D21"/>
    <w:rsid w:val="00AD24CE"/>
    <w:rsid w:val="00AD279E"/>
    <w:rsid w:val="00AD2B89"/>
    <w:rsid w:val="00AD3A3C"/>
    <w:rsid w:val="00AD4307"/>
    <w:rsid w:val="00AD5C2E"/>
    <w:rsid w:val="00AE11B7"/>
    <w:rsid w:val="00AE1D27"/>
    <w:rsid w:val="00AE1D85"/>
    <w:rsid w:val="00AE46DC"/>
    <w:rsid w:val="00AE4E07"/>
    <w:rsid w:val="00AE5230"/>
    <w:rsid w:val="00AE5901"/>
    <w:rsid w:val="00AE77B6"/>
    <w:rsid w:val="00AF0612"/>
    <w:rsid w:val="00AF0888"/>
    <w:rsid w:val="00AF1D94"/>
    <w:rsid w:val="00AF2170"/>
    <w:rsid w:val="00AF277A"/>
    <w:rsid w:val="00AF29B7"/>
    <w:rsid w:val="00AF2F4F"/>
    <w:rsid w:val="00AF36B0"/>
    <w:rsid w:val="00AF4B13"/>
    <w:rsid w:val="00AF612D"/>
    <w:rsid w:val="00AF6CAF"/>
    <w:rsid w:val="00AF7691"/>
    <w:rsid w:val="00AF7F47"/>
    <w:rsid w:val="00B00A55"/>
    <w:rsid w:val="00B00F22"/>
    <w:rsid w:val="00B019F8"/>
    <w:rsid w:val="00B06444"/>
    <w:rsid w:val="00B065B1"/>
    <w:rsid w:val="00B0686B"/>
    <w:rsid w:val="00B06C4D"/>
    <w:rsid w:val="00B06CE6"/>
    <w:rsid w:val="00B06D4B"/>
    <w:rsid w:val="00B06DFD"/>
    <w:rsid w:val="00B1151F"/>
    <w:rsid w:val="00B11E4A"/>
    <w:rsid w:val="00B1689C"/>
    <w:rsid w:val="00B201ED"/>
    <w:rsid w:val="00B20844"/>
    <w:rsid w:val="00B214B2"/>
    <w:rsid w:val="00B21BF3"/>
    <w:rsid w:val="00B226BC"/>
    <w:rsid w:val="00B23B81"/>
    <w:rsid w:val="00B24584"/>
    <w:rsid w:val="00B24C4A"/>
    <w:rsid w:val="00B255E4"/>
    <w:rsid w:val="00B25CD9"/>
    <w:rsid w:val="00B26CCF"/>
    <w:rsid w:val="00B30004"/>
    <w:rsid w:val="00B30353"/>
    <w:rsid w:val="00B31514"/>
    <w:rsid w:val="00B316B9"/>
    <w:rsid w:val="00B322C1"/>
    <w:rsid w:val="00B33746"/>
    <w:rsid w:val="00B3437D"/>
    <w:rsid w:val="00B34C1E"/>
    <w:rsid w:val="00B351C6"/>
    <w:rsid w:val="00B35331"/>
    <w:rsid w:val="00B35D4F"/>
    <w:rsid w:val="00B36546"/>
    <w:rsid w:val="00B3731D"/>
    <w:rsid w:val="00B411D8"/>
    <w:rsid w:val="00B424BA"/>
    <w:rsid w:val="00B4486D"/>
    <w:rsid w:val="00B44CD2"/>
    <w:rsid w:val="00B464BB"/>
    <w:rsid w:val="00B46A75"/>
    <w:rsid w:val="00B46F6B"/>
    <w:rsid w:val="00B50E7E"/>
    <w:rsid w:val="00B51544"/>
    <w:rsid w:val="00B52E2F"/>
    <w:rsid w:val="00B531DD"/>
    <w:rsid w:val="00B54564"/>
    <w:rsid w:val="00B55390"/>
    <w:rsid w:val="00B56A07"/>
    <w:rsid w:val="00B56D45"/>
    <w:rsid w:val="00B572E8"/>
    <w:rsid w:val="00B603B4"/>
    <w:rsid w:val="00B60860"/>
    <w:rsid w:val="00B617FA"/>
    <w:rsid w:val="00B63309"/>
    <w:rsid w:val="00B6332D"/>
    <w:rsid w:val="00B641B5"/>
    <w:rsid w:val="00B645D2"/>
    <w:rsid w:val="00B66F28"/>
    <w:rsid w:val="00B66F9A"/>
    <w:rsid w:val="00B67E6B"/>
    <w:rsid w:val="00B70892"/>
    <w:rsid w:val="00B717B0"/>
    <w:rsid w:val="00B71844"/>
    <w:rsid w:val="00B71DC2"/>
    <w:rsid w:val="00B73546"/>
    <w:rsid w:val="00B74DD5"/>
    <w:rsid w:val="00B74F88"/>
    <w:rsid w:val="00B76565"/>
    <w:rsid w:val="00B76A6E"/>
    <w:rsid w:val="00B813A2"/>
    <w:rsid w:val="00B844D1"/>
    <w:rsid w:val="00B84A83"/>
    <w:rsid w:val="00B879C7"/>
    <w:rsid w:val="00B90D3F"/>
    <w:rsid w:val="00B90DA2"/>
    <w:rsid w:val="00B93893"/>
    <w:rsid w:val="00B94384"/>
    <w:rsid w:val="00B94C6E"/>
    <w:rsid w:val="00B95E58"/>
    <w:rsid w:val="00B95FC2"/>
    <w:rsid w:val="00B9725F"/>
    <w:rsid w:val="00B97823"/>
    <w:rsid w:val="00B979F2"/>
    <w:rsid w:val="00B97DCD"/>
    <w:rsid w:val="00BA06AC"/>
    <w:rsid w:val="00BA16BD"/>
    <w:rsid w:val="00BA1B1C"/>
    <w:rsid w:val="00BA1B47"/>
    <w:rsid w:val="00BA2CB0"/>
    <w:rsid w:val="00BA3472"/>
    <w:rsid w:val="00BA537F"/>
    <w:rsid w:val="00BA5E9E"/>
    <w:rsid w:val="00BA770E"/>
    <w:rsid w:val="00BA77F1"/>
    <w:rsid w:val="00BA7A60"/>
    <w:rsid w:val="00BA7EDA"/>
    <w:rsid w:val="00BB11E1"/>
    <w:rsid w:val="00BB1594"/>
    <w:rsid w:val="00BB1670"/>
    <w:rsid w:val="00BB2BC0"/>
    <w:rsid w:val="00BB6349"/>
    <w:rsid w:val="00BB6DA1"/>
    <w:rsid w:val="00BB7ABD"/>
    <w:rsid w:val="00BB7EB7"/>
    <w:rsid w:val="00BC02E9"/>
    <w:rsid w:val="00BC0978"/>
    <w:rsid w:val="00BC0A80"/>
    <w:rsid w:val="00BC101B"/>
    <w:rsid w:val="00BC12A3"/>
    <w:rsid w:val="00BC216A"/>
    <w:rsid w:val="00BC3AA7"/>
    <w:rsid w:val="00BC3B53"/>
    <w:rsid w:val="00BC4A98"/>
    <w:rsid w:val="00BC4D64"/>
    <w:rsid w:val="00BC56F5"/>
    <w:rsid w:val="00BC58A8"/>
    <w:rsid w:val="00BC75E7"/>
    <w:rsid w:val="00BC7D8C"/>
    <w:rsid w:val="00BD0F12"/>
    <w:rsid w:val="00BD1454"/>
    <w:rsid w:val="00BD3605"/>
    <w:rsid w:val="00BD4929"/>
    <w:rsid w:val="00BD545B"/>
    <w:rsid w:val="00BD56FE"/>
    <w:rsid w:val="00BD592D"/>
    <w:rsid w:val="00BD5DFC"/>
    <w:rsid w:val="00BD7A5A"/>
    <w:rsid w:val="00BD7AE6"/>
    <w:rsid w:val="00BE0B32"/>
    <w:rsid w:val="00BE1687"/>
    <w:rsid w:val="00BE2497"/>
    <w:rsid w:val="00BE3637"/>
    <w:rsid w:val="00BE458E"/>
    <w:rsid w:val="00BE5564"/>
    <w:rsid w:val="00BE5794"/>
    <w:rsid w:val="00BF0EEB"/>
    <w:rsid w:val="00BF1365"/>
    <w:rsid w:val="00BF249F"/>
    <w:rsid w:val="00BF2B59"/>
    <w:rsid w:val="00BF2C4F"/>
    <w:rsid w:val="00BF37A3"/>
    <w:rsid w:val="00BF38ED"/>
    <w:rsid w:val="00BF3D01"/>
    <w:rsid w:val="00BF5B51"/>
    <w:rsid w:val="00BF7E3B"/>
    <w:rsid w:val="00C00B67"/>
    <w:rsid w:val="00C00F4E"/>
    <w:rsid w:val="00C01061"/>
    <w:rsid w:val="00C010DC"/>
    <w:rsid w:val="00C01CFA"/>
    <w:rsid w:val="00C02B0C"/>
    <w:rsid w:val="00C02E79"/>
    <w:rsid w:val="00C036CF"/>
    <w:rsid w:val="00C03DBC"/>
    <w:rsid w:val="00C05318"/>
    <w:rsid w:val="00C10869"/>
    <w:rsid w:val="00C11729"/>
    <w:rsid w:val="00C117E2"/>
    <w:rsid w:val="00C11B98"/>
    <w:rsid w:val="00C12C00"/>
    <w:rsid w:val="00C12E90"/>
    <w:rsid w:val="00C12EB9"/>
    <w:rsid w:val="00C1320B"/>
    <w:rsid w:val="00C1386C"/>
    <w:rsid w:val="00C14CC1"/>
    <w:rsid w:val="00C154F5"/>
    <w:rsid w:val="00C16E42"/>
    <w:rsid w:val="00C20018"/>
    <w:rsid w:val="00C206F1"/>
    <w:rsid w:val="00C26035"/>
    <w:rsid w:val="00C26079"/>
    <w:rsid w:val="00C26B3A"/>
    <w:rsid w:val="00C27206"/>
    <w:rsid w:val="00C30870"/>
    <w:rsid w:val="00C30AC1"/>
    <w:rsid w:val="00C3189F"/>
    <w:rsid w:val="00C3256E"/>
    <w:rsid w:val="00C33340"/>
    <w:rsid w:val="00C3445F"/>
    <w:rsid w:val="00C35A91"/>
    <w:rsid w:val="00C368B8"/>
    <w:rsid w:val="00C371A6"/>
    <w:rsid w:val="00C4005B"/>
    <w:rsid w:val="00C40C60"/>
    <w:rsid w:val="00C42F03"/>
    <w:rsid w:val="00C42FC9"/>
    <w:rsid w:val="00C43022"/>
    <w:rsid w:val="00C447C0"/>
    <w:rsid w:val="00C458C9"/>
    <w:rsid w:val="00C46B84"/>
    <w:rsid w:val="00C4706D"/>
    <w:rsid w:val="00C50ECF"/>
    <w:rsid w:val="00C52281"/>
    <w:rsid w:val="00C52E42"/>
    <w:rsid w:val="00C53426"/>
    <w:rsid w:val="00C54FEA"/>
    <w:rsid w:val="00C55E5A"/>
    <w:rsid w:val="00C56492"/>
    <w:rsid w:val="00C56BE8"/>
    <w:rsid w:val="00C57E63"/>
    <w:rsid w:val="00C60E49"/>
    <w:rsid w:val="00C61586"/>
    <w:rsid w:val="00C62A0B"/>
    <w:rsid w:val="00C63108"/>
    <w:rsid w:val="00C638E2"/>
    <w:rsid w:val="00C6391E"/>
    <w:rsid w:val="00C6537C"/>
    <w:rsid w:val="00C666E4"/>
    <w:rsid w:val="00C718D8"/>
    <w:rsid w:val="00C74A5D"/>
    <w:rsid w:val="00C756E1"/>
    <w:rsid w:val="00C75A9A"/>
    <w:rsid w:val="00C812F7"/>
    <w:rsid w:val="00C81674"/>
    <w:rsid w:val="00C833B6"/>
    <w:rsid w:val="00C85838"/>
    <w:rsid w:val="00C85C11"/>
    <w:rsid w:val="00C87002"/>
    <w:rsid w:val="00C876B7"/>
    <w:rsid w:val="00C90846"/>
    <w:rsid w:val="00C91B2C"/>
    <w:rsid w:val="00C92CA5"/>
    <w:rsid w:val="00C9372E"/>
    <w:rsid w:val="00C93B39"/>
    <w:rsid w:val="00C95961"/>
    <w:rsid w:val="00CA0A69"/>
    <w:rsid w:val="00CA0E76"/>
    <w:rsid w:val="00CA2B53"/>
    <w:rsid w:val="00CA40F8"/>
    <w:rsid w:val="00CA473C"/>
    <w:rsid w:val="00CA47D3"/>
    <w:rsid w:val="00CA52E3"/>
    <w:rsid w:val="00CA53DE"/>
    <w:rsid w:val="00CA58C3"/>
    <w:rsid w:val="00CA5BC9"/>
    <w:rsid w:val="00CA6A55"/>
    <w:rsid w:val="00CA6DEF"/>
    <w:rsid w:val="00CB156F"/>
    <w:rsid w:val="00CB1BBD"/>
    <w:rsid w:val="00CB3777"/>
    <w:rsid w:val="00CB5A73"/>
    <w:rsid w:val="00CC0BB4"/>
    <w:rsid w:val="00CC12DF"/>
    <w:rsid w:val="00CC24D1"/>
    <w:rsid w:val="00CC2505"/>
    <w:rsid w:val="00CC436E"/>
    <w:rsid w:val="00CC4A59"/>
    <w:rsid w:val="00CC4D8D"/>
    <w:rsid w:val="00CC5BDA"/>
    <w:rsid w:val="00CC63E0"/>
    <w:rsid w:val="00CC64A7"/>
    <w:rsid w:val="00CC6FDD"/>
    <w:rsid w:val="00CD0116"/>
    <w:rsid w:val="00CD0C97"/>
    <w:rsid w:val="00CD1689"/>
    <w:rsid w:val="00CD2492"/>
    <w:rsid w:val="00CD47BA"/>
    <w:rsid w:val="00CD4D69"/>
    <w:rsid w:val="00CD5427"/>
    <w:rsid w:val="00CD58D6"/>
    <w:rsid w:val="00CD604A"/>
    <w:rsid w:val="00CD6791"/>
    <w:rsid w:val="00CD7298"/>
    <w:rsid w:val="00CD7B6F"/>
    <w:rsid w:val="00CE15C4"/>
    <w:rsid w:val="00CE1A50"/>
    <w:rsid w:val="00CE25E1"/>
    <w:rsid w:val="00CE2B54"/>
    <w:rsid w:val="00CE2E6A"/>
    <w:rsid w:val="00CE2EA9"/>
    <w:rsid w:val="00CE41DA"/>
    <w:rsid w:val="00CE4826"/>
    <w:rsid w:val="00CE48A8"/>
    <w:rsid w:val="00CE6D64"/>
    <w:rsid w:val="00CE74D9"/>
    <w:rsid w:val="00CF053F"/>
    <w:rsid w:val="00CF0A55"/>
    <w:rsid w:val="00CF301C"/>
    <w:rsid w:val="00CF4DA3"/>
    <w:rsid w:val="00CF5605"/>
    <w:rsid w:val="00CF5F8E"/>
    <w:rsid w:val="00CF6D1C"/>
    <w:rsid w:val="00CF71E1"/>
    <w:rsid w:val="00CF7C8B"/>
    <w:rsid w:val="00D00180"/>
    <w:rsid w:val="00D00793"/>
    <w:rsid w:val="00D01A98"/>
    <w:rsid w:val="00D01D15"/>
    <w:rsid w:val="00D04083"/>
    <w:rsid w:val="00D04CCE"/>
    <w:rsid w:val="00D078E1"/>
    <w:rsid w:val="00D102D2"/>
    <w:rsid w:val="00D10AEF"/>
    <w:rsid w:val="00D11735"/>
    <w:rsid w:val="00D12A7F"/>
    <w:rsid w:val="00D131D6"/>
    <w:rsid w:val="00D135BA"/>
    <w:rsid w:val="00D136CA"/>
    <w:rsid w:val="00D14954"/>
    <w:rsid w:val="00D15D08"/>
    <w:rsid w:val="00D17A1D"/>
    <w:rsid w:val="00D20C77"/>
    <w:rsid w:val="00D218AC"/>
    <w:rsid w:val="00D21F49"/>
    <w:rsid w:val="00D221A6"/>
    <w:rsid w:val="00D224D1"/>
    <w:rsid w:val="00D22FD6"/>
    <w:rsid w:val="00D232A2"/>
    <w:rsid w:val="00D23522"/>
    <w:rsid w:val="00D23A20"/>
    <w:rsid w:val="00D24162"/>
    <w:rsid w:val="00D24EAF"/>
    <w:rsid w:val="00D2538C"/>
    <w:rsid w:val="00D25C90"/>
    <w:rsid w:val="00D25F5C"/>
    <w:rsid w:val="00D26196"/>
    <w:rsid w:val="00D279AE"/>
    <w:rsid w:val="00D30900"/>
    <w:rsid w:val="00D30F08"/>
    <w:rsid w:val="00D311EA"/>
    <w:rsid w:val="00D31C61"/>
    <w:rsid w:val="00D321FA"/>
    <w:rsid w:val="00D323BE"/>
    <w:rsid w:val="00D32F98"/>
    <w:rsid w:val="00D333D4"/>
    <w:rsid w:val="00D3546D"/>
    <w:rsid w:val="00D358D8"/>
    <w:rsid w:val="00D365C5"/>
    <w:rsid w:val="00D36C95"/>
    <w:rsid w:val="00D4038B"/>
    <w:rsid w:val="00D405AB"/>
    <w:rsid w:val="00D40A9B"/>
    <w:rsid w:val="00D41280"/>
    <w:rsid w:val="00D41CC9"/>
    <w:rsid w:val="00D43528"/>
    <w:rsid w:val="00D43C9C"/>
    <w:rsid w:val="00D440FF"/>
    <w:rsid w:val="00D4505C"/>
    <w:rsid w:val="00D45EB0"/>
    <w:rsid w:val="00D46125"/>
    <w:rsid w:val="00D52F46"/>
    <w:rsid w:val="00D5423B"/>
    <w:rsid w:val="00D54F4E"/>
    <w:rsid w:val="00D55865"/>
    <w:rsid w:val="00D55C0C"/>
    <w:rsid w:val="00D55EF3"/>
    <w:rsid w:val="00D56274"/>
    <w:rsid w:val="00D56969"/>
    <w:rsid w:val="00D57911"/>
    <w:rsid w:val="00D60BA4"/>
    <w:rsid w:val="00D61958"/>
    <w:rsid w:val="00D61E03"/>
    <w:rsid w:val="00D62F23"/>
    <w:rsid w:val="00D636C5"/>
    <w:rsid w:val="00D64DEF"/>
    <w:rsid w:val="00D6528F"/>
    <w:rsid w:val="00D6559A"/>
    <w:rsid w:val="00D65CC5"/>
    <w:rsid w:val="00D67A7A"/>
    <w:rsid w:val="00D67F8F"/>
    <w:rsid w:val="00D702FE"/>
    <w:rsid w:val="00D70463"/>
    <w:rsid w:val="00D711A5"/>
    <w:rsid w:val="00D713FF"/>
    <w:rsid w:val="00D71BF7"/>
    <w:rsid w:val="00D72421"/>
    <w:rsid w:val="00D72F6D"/>
    <w:rsid w:val="00D734E5"/>
    <w:rsid w:val="00D73F97"/>
    <w:rsid w:val="00D745A7"/>
    <w:rsid w:val="00D74D0A"/>
    <w:rsid w:val="00D767FA"/>
    <w:rsid w:val="00D8006B"/>
    <w:rsid w:val="00D80CCE"/>
    <w:rsid w:val="00D81D90"/>
    <w:rsid w:val="00D82202"/>
    <w:rsid w:val="00D83104"/>
    <w:rsid w:val="00D83137"/>
    <w:rsid w:val="00D8321B"/>
    <w:rsid w:val="00D84726"/>
    <w:rsid w:val="00D85213"/>
    <w:rsid w:val="00D85A93"/>
    <w:rsid w:val="00D87FF1"/>
    <w:rsid w:val="00D92483"/>
    <w:rsid w:val="00D92633"/>
    <w:rsid w:val="00D92CB7"/>
    <w:rsid w:val="00D93BF8"/>
    <w:rsid w:val="00D93CE9"/>
    <w:rsid w:val="00D94DB4"/>
    <w:rsid w:val="00D951CB"/>
    <w:rsid w:val="00D97364"/>
    <w:rsid w:val="00DA11ED"/>
    <w:rsid w:val="00DA2288"/>
    <w:rsid w:val="00DA243E"/>
    <w:rsid w:val="00DA298C"/>
    <w:rsid w:val="00DB030C"/>
    <w:rsid w:val="00DB082D"/>
    <w:rsid w:val="00DB16C2"/>
    <w:rsid w:val="00DB2280"/>
    <w:rsid w:val="00DB29E1"/>
    <w:rsid w:val="00DB2C79"/>
    <w:rsid w:val="00DB403F"/>
    <w:rsid w:val="00DB4A3A"/>
    <w:rsid w:val="00DB4FA7"/>
    <w:rsid w:val="00DB7D94"/>
    <w:rsid w:val="00DC1AA9"/>
    <w:rsid w:val="00DC2000"/>
    <w:rsid w:val="00DC2CCE"/>
    <w:rsid w:val="00DC6624"/>
    <w:rsid w:val="00DC6E11"/>
    <w:rsid w:val="00DC76BA"/>
    <w:rsid w:val="00DD1B91"/>
    <w:rsid w:val="00DD368B"/>
    <w:rsid w:val="00DD5834"/>
    <w:rsid w:val="00DD5E48"/>
    <w:rsid w:val="00DD6E29"/>
    <w:rsid w:val="00DE1EF1"/>
    <w:rsid w:val="00DE2DA8"/>
    <w:rsid w:val="00DE2F09"/>
    <w:rsid w:val="00DE343C"/>
    <w:rsid w:val="00DE443F"/>
    <w:rsid w:val="00DE54E5"/>
    <w:rsid w:val="00DE575C"/>
    <w:rsid w:val="00DE578A"/>
    <w:rsid w:val="00DE5D8B"/>
    <w:rsid w:val="00DE6AC5"/>
    <w:rsid w:val="00DE6E7E"/>
    <w:rsid w:val="00DE7DDA"/>
    <w:rsid w:val="00DF0942"/>
    <w:rsid w:val="00DF13E7"/>
    <w:rsid w:val="00DF1D1E"/>
    <w:rsid w:val="00DF2373"/>
    <w:rsid w:val="00DF2583"/>
    <w:rsid w:val="00DF54D9"/>
    <w:rsid w:val="00DF5DB4"/>
    <w:rsid w:val="00DF6548"/>
    <w:rsid w:val="00DF6973"/>
    <w:rsid w:val="00DF79E9"/>
    <w:rsid w:val="00E00687"/>
    <w:rsid w:val="00E008CB"/>
    <w:rsid w:val="00E021C8"/>
    <w:rsid w:val="00E03458"/>
    <w:rsid w:val="00E03D32"/>
    <w:rsid w:val="00E03E8B"/>
    <w:rsid w:val="00E04465"/>
    <w:rsid w:val="00E04E34"/>
    <w:rsid w:val="00E05FDB"/>
    <w:rsid w:val="00E10991"/>
    <w:rsid w:val="00E10B2F"/>
    <w:rsid w:val="00E10DC6"/>
    <w:rsid w:val="00E11F8E"/>
    <w:rsid w:val="00E1278B"/>
    <w:rsid w:val="00E12B7F"/>
    <w:rsid w:val="00E145EA"/>
    <w:rsid w:val="00E151E3"/>
    <w:rsid w:val="00E15579"/>
    <w:rsid w:val="00E15DEF"/>
    <w:rsid w:val="00E17944"/>
    <w:rsid w:val="00E17BC5"/>
    <w:rsid w:val="00E17CAA"/>
    <w:rsid w:val="00E17F72"/>
    <w:rsid w:val="00E20A86"/>
    <w:rsid w:val="00E22722"/>
    <w:rsid w:val="00E2347F"/>
    <w:rsid w:val="00E276B2"/>
    <w:rsid w:val="00E27792"/>
    <w:rsid w:val="00E33FD4"/>
    <w:rsid w:val="00E34ED6"/>
    <w:rsid w:val="00E35711"/>
    <w:rsid w:val="00E3596E"/>
    <w:rsid w:val="00E35F8C"/>
    <w:rsid w:val="00E364EF"/>
    <w:rsid w:val="00E4094E"/>
    <w:rsid w:val="00E426A4"/>
    <w:rsid w:val="00E42D22"/>
    <w:rsid w:val="00E42F1F"/>
    <w:rsid w:val="00E44467"/>
    <w:rsid w:val="00E4573C"/>
    <w:rsid w:val="00E458E2"/>
    <w:rsid w:val="00E45F37"/>
    <w:rsid w:val="00E466F2"/>
    <w:rsid w:val="00E50A17"/>
    <w:rsid w:val="00E50BD4"/>
    <w:rsid w:val="00E50BF8"/>
    <w:rsid w:val="00E51959"/>
    <w:rsid w:val="00E529B1"/>
    <w:rsid w:val="00E53C0D"/>
    <w:rsid w:val="00E55E32"/>
    <w:rsid w:val="00E56173"/>
    <w:rsid w:val="00E562C3"/>
    <w:rsid w:val="00E56899"/>
    <w:rsid w:val="00E56ADD"/>
    <w:rsid w:val="00E575BA"/>
    <w:rsid w:val="00E5788D"/>
    <w:rsid w:val="00E57CC8"/>
    <w:rsid w:val="00E6175D"/>
    <w:rsid w:val="00E62286"/>
    <w:rsid w:val="00E634B6"/>
    <w:rsid w:val="00E634E3"/>
    <w:rsid w:val="00E645B1"/>
    <w:rsid w:val="00E6586E"/>
    <w:rsid w:val="00E659A6"/>
    <w:rsid w:val="00E70662"/>
    <w:rsid w:val="00E724F5"/>
    <w:rsid w:val="00E73E9F"/>
    <w:rsid w:val="00E75C19"/>
    <w:rsid w:val="00E75D2C"/>
    <w:rsid w:val="00E80F31"/>
    <w:rsid w:val="00E81B0D"/>
    <w:rsid w:val="00E82965"/>
    <w:rsid w:val="00E85102"/>
    <w:rsid w:val="00E8592D"/>
    <w:rsid w:val="00E865D8"/>
    <w:rsid w:val="00E86633"/>
    <w:rsid w:val="00E86C84"/>
    <w:rsid w:val="00E86D09"/>
    <w:rsid w:val="00E876A6"/>
    <w:rsid w:val="00E91C5A"/>
    <w:rsid w:val="00E93301"/>
    <w:rsid w:val="00E93FBE"/>
    <w:rsid w:val="00E9497F"/>
    <w:rsid w:val="00E96D0E"/>
    <w:rsid w:val="00EA0AA8"/>
    <w:rsid w:val="00EA14C5"/>
    <w:rsid w:val="00EA1765"/>
    <w:rsid w:val="00EA26EF"/>
    <w:rsid w:val="00EA3241"/>
    <w:rsid w:val="00EA3B5F"/>
    <w:rsid w:val="00EA5757"/>
    <w:rsid w:val="00EA5786"/>
    <w:rsid w:val="00EA615D"/>
    <w:rsid w:val="00EA6A31"/>
    <w:rsid w:val="00EA75C1"/>
    <w:rsid w:val="00EA7B10"/>
    <w:rsid w:val="00EB141A"/>
    <w:rsid w:val="00EB1B91"/>
    <w:rsid w:val="00EB2DEB"/>
    <w:rsid w:val="00EB40BD"/>
    <w:rsid w:val="00EB67BF"/>
    <w:rsid w:val="00EB6D1A"/>
    <w:rsid w:val="00EB7038"/>
    <w:rsid w:val="00EB7550"/>
    <w:rsid w:val="00EB7B6B"/>
    <w:rsid w:val="00EB7C2E"/>
    <w:rsid w:val="00EC0E8F"/>
    <w:rsid w:val="00EC0F04"/>
    <w:rsid w:val="00EC1309"/>
    <w:rsid w:val="00EC1D4A"/>
    <w:rsid w:val="00EC237D"/>
    <w:rsid w:val="00EC3951"/>
    <w:rsid w:val="00EC4584"/>
    <w:rsid w:val="00EC530A"/>
    <w:rsid w:val="00EC5F70"/>
    <w:rsid w:val="00EC6AAB"/>
    <w:rsid w:val="00EC6F2A"/>
    <w:rsid w:val="00EC78DC"/>
    <w:rsid w:val="00ED2F32"/>
    <w:rsid w:val="00ED3D6E"/>
    <w:rsid w:val="00ED4248"/>
    <w:rsid w:val="00ED60CA"/>
    <w:rsid w:val="00ED64EF"/>
    <w:rsid w:val="00ED6CDA"/>
    <w:rsid w:val="00EE0697"/>
    <w:rsid w:val="00EE0CAE"/>
    <w:rsid w:val="00EE0EC3"/>
    <w:rsid w:val="00EE11A3"/>
    <w:rsid w:val="00EE1819"/>
    <w:rsid w:val="00EE1953"/>
    <w:rsid w:val="00EE1A75"/>
    <w:rsid w:val="00EE1B9E"/>
    <w:rsid w:val="00EE1DC0"/>
    <w:rsid w:val="00EE2A05"/>
    <w:rsid w:val="00EE2FE6"/>
    <w:rsid w:val="00EE4A1F"/>
    <w:rsid w:val="00EE53EA"/>
    <w:rsid w:val="00EE677F"/>
    <w:rsid w:val="00EF009A"/>
    <w:rsid w:val="00EF0D0D"/>
    <w:rsid w:val="00EF0ED5"/>
    <w:rsid w:val="00EF1B5A"/>
    <w:rsid w:val="00EF2CCA"/>
    <w:rsid w:val="00EF4ED9"/>
    <w:rsid w:val="00EF61AC"/>
    <w:rsid w:val="00EF65F3"/>
    <w:rsid w:val="00EF791D"/>
    <w:rsid w:val="00F01325"/>
    <w:rsid w:val="00F01360"/>
    <w:rsid w:val="00F015F1"/>
    <w:rsid w:val="00F0172C"/>
    <w:rsid w:val="00F017B1"/>
    <w:rsid w:val="00F01BA1"/>
    <w:rsid w:val="00F03E1B"/>
    <w:rsid w:val="00F04D1E"/>
    <w:rsid w:val="00F04D64"/>
    <w:rsid w:val="00F057E0"/>
    <w:rsid w:val="00F05D27"/>
    <w:rsid w:val="00F10ADF"/>
    <w:rsid w:val="00F13F47"/>
    <w:rsid w:val="00F147B9"/>
    <w:rsid w:val="00F14912"/>
    <w:rsid w:val="00F16EBD"/>
    <w:rsid w:val="00F21400"/>
    <w:rsid w:val="00F214D5"/>
    <w:rsid w:val="00F229EF"/>
    <w:rsid w:val="00F22C62"/>
    <w:rsid w:val="00F24A31"/>
    <w:rsid w:val="00F24E4E"/>
    <w:rsid w:val="00F25804"/>
    <w:rsid w:val="00F25B7F"/>
    <w:rsid w:val="00F26059"/>
    <w:rsid w:val="00F2608D"/>
    <w:rsid w:val="00F313B0"/>
    <w:rsid w:val="00F33E73"/>
    <w:rsid w:val="00F343DA"/>
    <w:rsid w:val="00F359F8"/>
    <w:rsid w:val="00F3652C"/>
    <w:rsid w:val="00F366F4"/>
    <w:rsid w:val="00F36803"/>
    <w:rsid w:val="00F376A8"/>
    <w:rsid w:val="00F429E7"/>
    <w:rsid w:val="00F43D1A"/>
    <w:rsid w:val="00F43E8A"/>
    <w:rsid w:val="00F45528"/>
    <w:rsid w:val="00F45681"/>
    <w:rsid w:val="00F464B4"/>
    <w:rsid w:val="00F46AA1"/>
    <w:rsid w:val="00F47235"/>
    <w:rsid w:val="00F47A9A"/>
    <w:rsid w:val="00F50554"/>
    <w:rsid w:val="00F51771"/>
    <w:rsid w:val="00F53F91"/>
    <w:rsid w:val="00F56255"/>
    <w:rsid w:val="00F57321"/>
    <w:rsid w:val="00F5777F"/>
    <w:rsid w:val="00F57CD4"/>
    <w:rsid w:val="00F613E9"/>
    <w:rsid w:val="00F6168C"/>
    <w:rsid w:val="00F61A72"/>
    <w:rsid w:val="00F62D1F"/>
    <w:rsid w:val="00F6371E"/>
    <w:rsid w:val="00F63E0E"/>
    <w:rsid w:val="00F63FB6"/>
    <w:rsid w:val="00F64FC4"/>
    <w:rsid w:val="00F65951"/>
    <w:rsid w:val="00F65DE4"/>
    <w:rsid w:val="00F66CCD"/>
    <w:rsid w:val="00F66F13"/>
    <w:rsid w:val="00F74073"/>
    <w:rsid w:val="00F74AC4"/>
    <w:rsid w:val="00F74D7D"/>
    <w:rsid w:val="00F75F78"/>
    <w:rsid w:val="00F7614E"/>
    <w:rsid w:val="00F77453"/>
    <w:rsid w:val="00F80F82"/>
    <w:rsid w:val="00F81A04"/>
    <w:rsid w:val="00F83AF4"/>
    <w:rsid w:val="00F84116"/>
    <w:rsid w:val="00F8524E"/>
    <w:rsid w:val="00F870C7"/>
    <w:rsid w:val="00F8778E"/>
    <w:rsid w:val="00F87D67"/>
    <w:rsid w:val="00F87D80"/>
    <w:rsid w:val="00F90E04"/>
    <w:rsid w:val="00F90E3F"/>
    <w:rsid w:val="00F9189A"/>
    <w:rsid w:val="00F928C5"/>
    <w:rsid w:val="00F9406C"/>
    <w:rsid w:val="00F970A1"/>
    <w:rsid w:val="00FA1465"/>
    <w:rsid w:val="00FA14B4"/>
    <w:rsid w:val="00FA1759"/>
    <w:rsid w:val="00FA2640"/>
    <w:rsid w:val="00FA2750"/>
    <w:rsid w:val="00FA277B"/>
    <w:rsid w:val="00FA6265"/>
    <w:rsid w:val="00FA63B1"/>
    <w:rsid w:val="00FB06ED"/>
    <w:rsid w:val="00FB2701"/>
    <w:rsid w:val="00FB5C67"/>
    <w:rsid w:val="00FB76DB"/>
    <w:rsid w:val="00FC084D"/>
    <w:rsid w:val="00FC30E6"/>
    <w:rsid w:val="00FC31D9"/>
    <w:rsid w:val="00FC36AB"/>
    <w:rsid w:val="00FC3F21"/>
    <w:rsid w:val="00FC5A5F"/>
    <w:rsid w:val="00FC6AB4"/>
    <w:rsid w:val="00FC6EC6"/>
    <w:rsid w:val="00FC77C5"/>
    <w:rsid w:val="00FC7D5B"/>
    <w:rsid w:val="00FD09E3"/>
    <w:rsid w:val="00FD1727"/>
    <w:rsid w:val="00FD1D34"/>
    <w:rsid w:val="00FD1D6B"/>
    <w:rsid w:val="00FD2798"/>
    <w:rsid w:val="00FD2A72"/>
    <w:rsid w:val="00FD428F"/>
    <w:rsid w:val="00FD5819"/>
    <w:rsid w:val="00FE15EB"/>
    <w:rsid w:val="00FE2B23"/>
    <w:rsid w:val="00FE4F08"/>
    <w:rsid w:val="00FE56CE"/>
    <w:rsid w:val="00FE5C0A"/>
    <w:rsid w:val="00FE64E4"/>
    <w:rsid w:val="00FF0D35"/>
    <w:rsid w:val="00FF0DF2"/>
    <w:rsid w:val="00FF3A5A"/>
    <w:rsid w:val="00FF4C40"/>
    <w:rsid w:val="00FF5128"/>
    <w:rsid w:val="00FF6ED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fill="f" fillcolor="white" stroke="f">
      <v:fill color="white" on="f"/>
      <v:stroke on="f"/>
    </o:shapedefaults>
    <o:shapelayout v:ext="edit">
      <o:idmap v:ext="edit" data="1"/>
    </o:shapelayout>
  </w:shapeDefaults>
  <w:decimalSymbol w:val=","/>
  <w:listSeparator w:val=";"/>
  <w14:docId w14:val="12E288BB"/>
  <w15:docId w15:val="{F67BC70D-514A-41D7-A47F-1E79D8CB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4"/>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uiPriority w:val="99"/>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link w:val="EndnoteTextChar"/>
    <w:uiPriority w:val="99"/>
    <w:semiHidden/>
    <w:rsid w:val="00646E47"/>
    <w:rPr>
      <w:sz w:val="20"/>
      <w:szCs w:val="20"/>
    </w:rPr>
  </w:style>
  <w:style w:type="character" w:styleId="EndnoteReference">
    <w:name w:val="endnote reference"/>
    <w:uiPriority w:val="99"/>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5D667E"/>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5D667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rPr>
  </w:style>
  <w:style w:type="character" w:styleId="FollowedHyperlink">
    <w:name w:val="FollowedHyperlink"/>
    <w:rsid w:val="009A34B2"/>
    <w:rPr>
      <w:color w:val="954F72"/>
      <w:u w:val="single"/>
    </w:rPr>
  </w:style>
  <w:style w:type="paragraph" w:styleId="ListParagraph">
    <w:name w:val="List Paragraph"/>
    <w:basedOn w:val="Normal"/>
    <w:uiPriority w:val="34"/>
    <w:qFormat/>
    <w:rsid w:val="008502F4"/>
    <w:pPr>
      <w:spacing w:line="240" w:lineRule="auto"/>
      <w:ind w:left="720"/>
    </w:pPr>
    <w:rPr>
      <w:rFonts w:ascii="Calibri" w:eastAsia="Calibri" w:hAnsi="Calibri"/>
      <w:sz w:val="22"/>
      <w:szCs w:val="22"/>
      <w:lang w:eastAsia="en-US"/>
    </w:rPr>
  </w:style>
  <w:style w:type="character" w:customStyle="1" w:styleId="EndnoteTextChar">
    <w:name w:val="Endnote Text Char"/>
    <w:basedOn w:val="DefaultParagraphFont"/>
    <w:link w:val="EndnoteText"/>
    <w:uiPriority w:val="99"/>
    <w:semiHidden/>
    <w:rsid w:val="00961506"/>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8814129">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801968795">
      <w:bodyDiv w:val="1"/>
      <w:marLeft w:val="0"/>
      <w:marRight w:val="0"/>
      <w:marTop w:val="0"/>
      <w:marBottom w:val="0"/>
      <w:divBdr>
        <w:top w:val="none" w:sz="0" w:space="0" w:color="auto"/>
        <w:left w:val="none" w:sz="0" w:space="0" w:color="auto"/>
        <w:bottom w:val="none" w:sz="0" w:space="0" w:color="auto"/>
        <w:right w:val="none" w:sz="0" w:space="0" w:color="auto"/>
      </w:divBdr>
    </w:div>
    <w:div w:id="1116295050">
      <w:bodyDiv w:val="1"/>
      <w:marLeft w:val="0"/>
      <w:marRight w:val="0"/>
      <w:marTop w:val="0"/>
      <w:marBottom w:val="0"/>
      <w:divBdr>
        <w:top w:val="none" w:sz="0" w:space="0" w:color="auto"/>
        <w:left w:val="none" w:sz="0" w:space="0" w:color="auto"/>
        <w:bottom w:val="none" w:sz="0" w:space="0" w:color="auto"/>
        <w:right w:val="none" w:sz="0" w:space="0" w:color="auto"/>
      </w:divBdr>
    </w:div>
    <w:div w:id="1202285994">
      <w:bodyDiv w:val="1"/>
      <w:marLeft w:val="0"/>
      <w:marRight w:val="0"/>
      <w:marTop w:val="0"/>
      <w:marBottom w:val="0"/>
      <w:divBdr>
        <w:top w:val="none" w:sz="0" w:space="0" w:color="auto"/>
        <w:left w:val="none" w:sz="0" w:space="0" w:color="auto"/>
        <w:bottom w:val="none" w:sz="0" w:space="0" w:color="auto"/>
        <w:right w:val="none" w:sz="0" w:space="0" w:color="auto"/>
      </w:divBdr>
    </w:div>
    <w:div w:id="1519852775">
      <w:bodyDiv w:val="1"/>
      <w:marLeft w:val="0"/>
      <w:marRight w:val="0"/>
      <w:marTop w:val="0"/>
      <w:marBottom w:val="0"/>
      <w:divBdr>
        <w:top w:val="none" w:sz="0" w:space="0" w:color="auto"/>
        <w:left w:val="none" w:sz="0" w:space="0" w:color="auto"/>
        <w:bottom w:val="none" w:sz="0" w:space="0" w:color="auto"/>
        <w:right w:val="none" w:sz="0" w:space="0" w:color="auto"/>
      </w:divBdr>
    </w:div>
    <w:div w:id="1813864419">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 w:id="212684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77157-DCD5-4C5D-A836-D66E10BFD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83526C4-B8E3-4CC5-A241-ECB413D968AB}">
  <ds:schemaRefs>
    <ds:schemaRef ds:uri="http://schemas.microsoft.com/sharepoint/v3/contenttype/forms"/>
  </ds:schemaRefs>
</ds:datastoreItem>
</file>

<file path=customXml/itemProps3.xml><?xml version="1.0" encoding="utf-8"?>
<ds:datastoreItem xmlns:ds="http://schemas.openxmlformats.org/officeDocument/2006/customXml" ds:itemID="{F2C64F5F-700B-4C21-A6E8-E6879F2D387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CF0E6056-982C-418C-9306-7E9E82A4CDC0}">
  <ds:schemaRefs>
    <ds:schemaRef ds:uri="http://schemas.microsoft.com/office/2006/metadata/longProperties"/>
  </ds:schemaRefs>
</ds:datastoreItem>
</file>

<file path=customXml/itemProps5.xml><?xml version="1.0" encoding="utf-8"?>
<ds:datastoreItem xmlns:ds="http://schemas.openxmlformats.org/officeDocument/2006/customXml" ds:itemID="{2BFEBA7B-1CE6-4AA5-BEFF-06BBF045D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8C5127E9</Template>
  <TotalTime>8</TotalTime>
  <Pages>20</Pages>
  <Words>7561</Words>
  <Characters>41586</Characters>
  <Application>Microsoft Office Word</Application>
  <DocSecurity>0</DocSecurity>
  <Lines>346</Lines>
  <Paragraphs>98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49049</CharactersWithSpaces>
  <SharedDoc>false</SharedDoc>
  <HLinks>
    <vt:vector size="24" baseType="variant">
      <vt:variant>
        <vt:i4>4587602</vt:i4>
      </vt:variant>
      <vt:variant>
        <vt:i4>0</vt:i4>
      </vt:variant>
      <vt:variant>
        <vt:i4>0</vt:i4>
      </vt:variant>
      <vt:variant>
        <vt:i4>5</vt:i4>
      </vt:variant>
      <vt:variant>
        <vt:lpwstr>http://www.mopanonline.org/assessments/iadb2015-16/index.htm</vt:lpwstr>
      </vt:variant>
      <vt:variant>
        <vt:lpwstr/>
      </vt:variant>
      <vt:variant>
        <vt:i4>2555957</vt:i4>
      </vt:variant>
      <vt:variant>
        <vt:i4>6</vt:i4>
      </vt:variant>
      <vt:variant>
        <vt:i4>0</vt:i4>
      </vt:variant>
      <vt:variant>
        <vt:i4>5</vt:i4>
      </vt:variant>
      <vt:variant>
        <vt:lpwstr>http://www.iadb.org/en/projects/projects,1229.html</vt:lpwstr>
      </vt:variant>
      <vt:variant>
        <vt:lpwstr/>
      </vt:variant>
      <vt:variant>
        <vt:i4>7405613</vt:i4>
      </vt:variant>
      <vt:variant>
        <vt:i4>3</vt:i4>
      </vt:variant>
      <vt:variant>
        <vt:i4>0</vt:i4>
      </vt:variant>
      <vt:variant>
        <vt:i4>5</vt:i4>
      </vt:variant>
      <vt:variant>
        <vt:lpwstr>http://www.iadb.org/en/projects/project-cycle,1243.html</vt:lpwstr>
      </vt:variant>
      <vt:variant>
        <vt:lpwstr/>
      </vt:variant>
      <vt:variant>
        <vt:i4>8323126</vt:i4>
      </vt:variant>
      <vt:variant>
        <vt:i4>0</vt:i4>
      </vt:variant>
      <vt:variant>
        <vt:i4>0</vt:i4>
      </vt:variant>
      <vt:variant>
        <vt:i4>5</vt:i4>
      </vt:variant>
      <vt:variant>
        <vt:lpwstr>http://blogs.iadb.org/partnerships-for-development/2016/04/19/dollars-for-development-a-bang-for-your-buck-approach-2/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creator>Han Huiskamp</dc:creator>
  <cp:lastModifiedBy>Straaten, Frans van der</cp:lastModifiedBy>
  <cp:revision>8</cp:revision>
  <cp:lastPrinted>2017-06-08T08:51:00Z</cp:lastPrinted>
  <dcterms:created xsi:type="dcterms:W3CDTF">2017-08-02T12:06:00Z</dcterms:created>
  <dcterms:modified xsi:type="dcterms:W3CDTF">2017-08-25T13:19:00Z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y fmtid="{D5CDD505-2E9C-101B-9397-08002B2CF9AE}" pid="20" name="IsMyDocuments">
    <vt:lpwstr>1</vt:lpwstr>
  </property>
</Properties>
</file>